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34" w:rsidRPr="00496D8F" w:rsidRDefault="002E2934" w:rsidP="002E2934">
      <w:pPr>
        <w:spacing w:before="120"/>
        <w:jc w:val="center"/>
        <w:rPr>
          <w:b/>
          <w:sz w:val="36"/>
          <w:szCs w:val="36"/>
        </w:rPr>
      </w:pPr>
      <w:r w:rsidRPr="00496D8F">
        <w:rPr>
          <w:b/>
          <w:sz w:val="36"/>
          <w:szCs w:val="36"/>
        </w:rPr>
        <w:t>Глава 2. Возможности использования экономического потенциала регионов для человеческого развития</w:t>
      </w:r>
    </w:p>
    <w:p w:rsidR="00A1069B" w:rsidRPr="00A1069B" w:rsidRDefault="00A1069B" w:rsidP="002E2934">
      <w:pPr>
        <w:spacing w:before="120"/>
        <w:jc w:val="both"/>
        <w:rPr>
          <w:sz w:val="22"/>
          <w:szCs w:val="22"/>
        </w:rPr>
      </w:pPr>
    </w:p>
    <w:p w:rsidR="00C1535F" w:rsidRDefault="002E2934" w:rsidP="002E2934">
      <w:pPr>
        <w:spacing w:before="120"/>
        <w:jc w:val="both"/>
      </w:pPr>
      <w:r>
        <w:t>Более 200 лет назад великий английский экономист Адам Смит издал свою книгу</w:t>
      </w:r>
      <w:r w:rsidR="00A1069B">
        <w:t xml:space="preserve"> «Исследование о природе и причинах богатства народов»</w:t>
      </w:r>
      <w:r w:rsidR="00C1535F">
        <w:t xml:space="preserve">. Название книги </w:t>
      </w:r>
      <w:r w:rsidR="00E64621">
        <w:t>прекрасно</w:t>
      </w:r>
      <w:r w:rsidR="00C1535F">
        <w:t xml:space="preserve"> отражает то, что изучал Смит и что является предметом экономической </w:t>
      </w:r>
      <w:r w:rsidR="00CF39B5">
        <w:t>теории</w:t>
      </w:r>
      <w:r w:rsidR="00C1535F">
        <w:t xml:space="preserve"> – почему одни экономические системы </w:t>
      </w:r>
      <w:r w:rsidR="00E961B2">
        <w:t xml:space="preserve">и механизмы </w:t>
      </w:r>
      <w:r w:rsidR="00842988">
        <w:t xml:space="preserve">справляются с </w:t>
      </w:r>
      <w:r w:rsidR="00C1535F">
        <w:t>обеспеч</w:t>
      </w:r>
      <w:r w:rsidR="00842988">
        <w:t>ением</w:t>
      </w:r>
      <w:r w:rsidR="00C1535F">
        <w:t xml:space="preserve"> материально</w:t>
      </w:r>
      <w:r w:rsidR="00842988">
        <w:t>го</w:t>
      </w:r>
      <w:r w:rsidR="00C1535F">
        <w:t xml:space="preserve"> процветани</w:t>
      </w:r>
      <w:r w:rsidR="00842988">
        <w:t>я</w:t>
      </w:r>
      <w:r w:rsidR="00C1535F">
        <w:t xml:space="preserve"> </w:t>
      </w:r>
      <w:r w:rsidR="008142FE">
        <w:t>населения</w:t>
      </w:r>
      <w:r w:rsidR="00842988">
        <w:t xml:space="preserve"> в лучшей степени, чем другие.</w:t>
      </w:r>
      <w:r w:rsidR="008142FE">
        <w:t xml:space="preserve"> </w:t>
      </w:r>
      <w:r w:rsidR="00C1535F">
        <w:t>Данный подход вполне применим и к анализу состояния экономик регионов одной страны. Конечно</w:t>
      </w:r>
      <w:r w:rsidR="00E961B2">
        <w:t>,</w:t>
      </w:r>
      <w:r w:rsidR="00C1535F">
        <w:t xml:space="preserve"> между анализом межстрановых и межрегиональных различий </w:t>
      </w:r>
      <w:r w:rsidR="008142FE">
        <w:t xml:space="preserve">есть </w:t>
      </w:r>
      <w:r w:rsidR="00C1535F">
        <w:t>большая разница. Регионы одной страны, как правило, имеют много общих условий, влияющих на их экономическое развитие: национальное законодательство, политика центрального правительства и пр. Но суть анализа та</w:t>
      </w:r>
      <w:r w:rsidR="00321587">
        <w:t xml:space="preserve"> </w:t>
      </w:r>
      <w:r w:rsidR="00C1535F">
        <w:t xml:space="preserve">же: понять какие факторы влияют на </w:t>
      </w:r>
      <w:r w:rsidR="007F025B">
        <w:t>уровень жизни населения</w:t>
      </w:r>
      <w:r w:rsidR="00C1535F">
        <w:t xml:space="preserve"> регионов, обусловливают </w:t>
      </w:r>
      <w:r w:rsidR="007F025B">
        <w:t xml:space="preserve">существующие </w:t>
      </w:r>
      <w:r w:rsidR="00C1535F">
        <w:t>различия.</w:t>
      </w:r>
    </w:p>
    <w:p w:rsidR="00671024" w:rsidRDefault="00671024" w:rsidP="002E2934">
      <w:pPr>
        <w:spacing w:before="120"/>
        <w:jc w:val="both"/>
      </w:pPr>
      <w:r>
        <w:t xml:space="preserve">Основная сложность нашего исследования заключается в том, что на уровень жизни людей влияет множество факторов, </w:t>
      </w:r>
      <w:r w:rsidR="00E64621">
        <w:t>часть</w:t>
      </w:r>
      <w:r>
        <w:t xml:space="preserve"> из которых очень сложно или даже невозможно оценить количественно. Да и сам уровень жизни не всегда поддается количественной оценке. При этом надо учитывать такие явления как неформальная экономика и натуральное потребление продуктов собственного производства (прежде всего сельскохозяйственной продукции), которые непосредственно влияют на уровень жизни людей, </w:t>
      </w:r>
      <w:r w:rsidR="00653779">
        <w:t xml:space="preserve">но </w:t>
      </w:r>
      <w:r>
        <w:t>в национальной статистике не учитываются</w:t>
      </w:r>
      <w:r w:rsidR="00A14C1B">
        <w:t xml:space="preserve"> или учитываются в недостаточной степени</w:t>
      </w:r>
      <w:r>
        <w:t xml:space="preserve">. </w:t>
      </w:r>
      <w:r w:rsidR="00321587">
        <w:t>При этом</w:t>
      </w:r>
      <w:r>
        <w:t xml:space="preserve"> даже к данным, которые имеются в национальной статистике, далеко не всегда можно получить доступ</w:t>
      </w:r>
      <w:r w:rsidR="00842988">
        <w:rPr>
          <w:rStyle w:val="a5"/>
        </w:rPr>
        <w:footnoteReference w:id="2"/>
      </w:r>
      <w:r>
        <w:t>.</w:t>
      </w:r>
    </w:p>
    <w:p w:rsidR="00937265" w:rsidRPr="004E6D6E" w:rsidRDefault="00671024" w:rsidP="00671024">
      <w:pPr>
        <w:spacing w:before="120"/>
        <w:jc w:val="both"/>
      </w:pPr>
      <w:r>
        <w:t>Учитывая вышесказанное</w:t>
      </w:r>
      <w:r w:rsidR="00D76333">
        <w:t>,</w:t>
      </w:r>
      <w:r>
        <w:t xml:space="preserve"> мы сможем провести анализ влияния на уровень жизни лишь тех факторов, которые выражены количественно и отражены в данных официальной статистики, либо в результатах альтернатив</w:t>
      </w:r>
      <w:r w:rsidRPr="004E6D6E">
        <w:t xml:space="preserve">ных социологических исследований. </w:t>
      </w:r>
    </w:p>
    <w:p w:rsidR="00671024" w:rsidRPr="004E6D6E" w:rsidRDefault="00671024" w:rsidP="00671024">
      <w:pPr>
        <w:spacing w:before="120"/>
        <w:jc w:val="both"/>
      </w:pPr>
      <w:r w:rsidRPr="004E6D6E">
        <w:t>К таким факторам можно отнести:</w:t>
      </w:r>
    </w:p>
    <w:p w:rsidR="00AF410B" w:rsidRPr="004E6D6E" w:rsidRDefault="00AF410B" w:rsidP="00671024">
      <w:pPr>
        <w:spacing w:before="120"/>
        <w:jc w:val="both"/>
      </w:pPr>
      <w:r w:rsidRPr="004E6D6E">
        <w:t xml:space="preserve">1. </w:t>
      </w:r>
      <w:r w:rsidRPr="004E6D6E">
        <w:rPr>
          <w:b/>
          <w:i/>
        </w:rPr>
        <w:t xml:space="preserve">Количество и качество </w:t>
      </w:r>
      <w:r w:rsidR="00CA1E89" w:rsidRPr="004E6D6E">
        <w:rPr>
          <w:b/>
          <w:i/>
        </w:rPr>
        <w:t>рабочей силы</w:t>
      </w:r>
      <w:r w:rsidRPr="004E6D6E">
        <w:rPr>
          <w:b/>
          <w:i/>
        </w:rPr>
        <w:t>, использование потенциала трудовых ресурсов</w:t>
      </w:r>
      <w:r w:rsidR="00CA1E89" w:rsidRPr="004E6D6E">
        <w:t xml:space="preserve"> (</w:t>
      </w:r>
      <w:r w:rsidR="00321587">
        <w:rPr>
          <w:highlight w:val="yellow"/>
        </w:rPr>
        <w:t>р</w:t>
      </w:r>
      <w:r w:rsidR="00CA1E89" w:rsidRPr="004E6D6E">
        <w:rPr>
          <w:highlight w:val="yellow"/>
        </w:rPr>
        <w:t>аздел 2.1</w:t>
      </w:r>
      <w:r w:rsidR="00CA1E89" w:rsidRPr="004E6D6E">
        <w:t>)</w:t>
      </w:r>
      <w:r w:rsidRPr="004E6D6E">
        <w:t xml:space="preserve">. </w:t>
      </w:r>
      <w:r w:rsidR="00CA1E89" w:rsidRPr="004E6D6E">
        <w:t xml:space="preserve">Можно предположить, что чем больше доля трудоспособных в общей численности населения и доля занятых в </w:t>
      </w:r>
      <w:r w:rsidR="00E64621" w:rsidRPr="004E6D6E">
        <w:t>населении трудоспособного возраста</w:t>
      </w:r>
      <w:r w:rsidR="00CA1E89" w:rsidRPr="004E6D6E">
        <w:t>, чем выше производительность труда</w:t>
      </w:r>
      <w:r w:rsidR="00E64621" w:rsidRPr="004E6D6E">
        <w:t xml:space="preserve"> работников</w:t>
      </w:r>
      <w:r w:rsidR="00CA1E89" w:rsidRPr="004E6D6E">
        <w:t xml:space="preserve">, тем, при прочих равных условиях, должен быть выше уровень материального благосостояния жителей региона. </w:t>
      </w:r>
    </w:p>
    <w:p w:rsidR="00D76333" w:rsidRPr="004E6D6E" w:rsidRDefault="00D76333" w:rsidP="00D76333">
      <w:pPr>
        <w:spacing w:before="120"/>
        <w:jc w:val="both"/>
      </w:pPr>
      <w:r w:rsidRPr="004E6D6E">
        <w:t xml:space="preserve">2. </w:t>
      </w:r>
      <w:r w:rsidRPr="004E6D6E">
        <w:rPr>
          <w:b/>
          <w:i/>
        </w:rPr>
        <w:t>Сложившаяся отраслевая структура занятости</w:t>
      </w:r>
      <w:r w:rsidR="0035013D" w:rsidRPr="004E6D6E">
        <w:rPr>
          <w:b/>
          <w:i/>
        </w:rPr>
        <w:t xml:space="preserve"> </w:t>
      </w:r>
      <w:r w:rsidR="0035013D" w:rsidRPr="004E6D6E">
        <w:t>(</w:t>
      </w:r>
      <w:r w:rsidR="00321587">
        <w:rPr>
          <w:highlight w:val="yellow"/>
        </w:rPr>
        <w:t>р</w:t>
      </w:r>
      <w:r w:rsidR="0035013D" w:rsidRPr="004E6D6E">
        <w:rPr>
          <w:highlight w:val="yellow"/>
        </w:rPr>
        <w:t>аздел 2.2</w:t>
      </w:r>
      <w:r w:rsidR="0035013D" w:rsidRPr="004E6D6E">
        <w:t>)</w:t>
      </w:r>
      <w:r w:rsidRPr="004E6D6E">
        <w:t>. Можно предположить, что межрегиональные различия в отраслевой структур</w:t>
      </w:r>
      <w:r w:rsidR="00E64621" w:rsidRPr="004E6D6E">
        <w:t>е</w:t>
      </w:r>
      <w:r w:rsidRPr="004E6D6E">
        <w:t xml:space="preserve"> занятости влияют на уровень жизни населения реги</w:t>
      </w:r>
      <w:r w:rsidR="0035013D" w:rsidRPr="004E6D6E">
        <w:t>о</w:t>
      </w:r>
      <w:r w:rsidRPr="004E6D6E">
        <w:t xml:space="preserve">нов. Дело в том, что разные отрасли по-разному участвуют в формировании доходов населения. Есть отрасли, успешно развивающиеся и приносящие участникам хозяйственной деятельности неплохие доходы. Есть отрасли, спрос на продукцию которых неустойчив или падает, либо цены в силу каких-то причин низки и, соответственно, доходность в таких отраслях не велика. </w:t>
      </w:r>
      <w:r w:rsidR="00653779">
        <w:t>Многое зависит и от</w:t>
      </w:r>
      <w:r w:rsidR="00842988">
        <w:t xml:space="preserve"> того, </w:t>
      </w:r>
      <w:r w:rsidR="00653779">
        <w:t xml:space="preserve">доминируют </w:t>
      </w:r>
      <w:r w:rsidR="00842988">
        <w:t xml:space="preserve">ли </w:t>
      </w:r>
      <w:r w:rsidR="00653779">
        <w:t>в экономике региона капиталоемкие или трудоемкие</w:t>
      </w:r>
      <w:r w:rsidR="00842988">
        <w:t xml:space="preserve"> отрасли</w:t>
      </w:r>
      <w:r w:rsidR="00653779">
        <w:t xml:space="preserve">. </w:t>
      </w:r>
      <w:r w:rsidR="00CF39B5">
        <w:t>В</w:t>
      </w:r>
      <w:r w:rsidRPr="004E6D6E">
        <w:t xml:space="preserve"> капиталоемких отраслях производительность обеспечивается, прежде всего, за счет техники и технологий и поэтому большая часть доходов распределяется в пользу собственников физического капитала, в трудоемких отраслях, напротив, велика доля оплаты труда в стоимости произведенной продукции. Соответственно, трудоемкие </w:t>
      </w:r>
      <w:r w:rsidRPr="004E6D6E">
        <w:lastRenderedPageBreak/>
        <w:t>отрасли, как правило, более активно участвуют в формировании доходов населения, нежели капиталоемкие. Соответственно, необходимо проанализировать, как разные отрасли и подотрасли экономики участвуют в формировании доходов населения регионов.</w:t>
      </w:r>
    </w:p>
    <w:p w:rsidR="0035013D" w:rsidRPr="004E6D6E" w:rsidRDefault="0035013D" w:rsidP="0035013D">
      <w:pPr>
        <w:spacing w:before="120"/>
        <w:jc w:val="both"/>
      </w:pPr>
      <w:r w:rsidRPr="004E6D6E">
        <w:t xml:space="preserve">3. </w:t>
      </w:r>
      <w:r w:rsidRPr="004E6D6E">
        <w:rPr>
          <w:b/>
          <w:i/>
        </w:rPr>
        <w:t xml:space="preserve">Доступ к основному капиталу, инвестиции в основной капитал </w:t>
      </w:r>
      <w:r w:rsidRPr="004E6D6E">
        <w:t>(</w:t>
      </w:r>
      <w:r w:rsidR="00321587">
        <w:rPr>
          <w:highlight w:val="yellow"/>
        </w:rPr>
        <w:t>р</w:t>
      </w:r>
      <w:r w:rsidRPr="004E6D6E">
        <w:rPr>
          <w:highlight w:val="yellow"/>
        </w:rPr>
        <w:t>аздел 2.3</w:t>
      </w:r>
      <w:r w:rsidRPr="004E6D6E">
        <w:t>). Можно предположить, что чем больше у жителей регионов доступа к накопленному физическому капиталу, чем больше возможностей и стимулов инвестировать в основные фонды, тем должны быть выше уровни производительности труда, экономической активности, а, следовательно, и материального благосостояния людей.</w:t>
      </w:r>
    </w:p>
    <w:p w:rsidR="00937265" w:rsidRDefault="007F025B" w:rsidP="002E2934">
      <w:pPr>
        <w:spacing w:before="120"/>
        <w:jc w:val="both"/>
      </w:pPr>
      <w:r w:rsidRPr="00B6758D">
        <w:t xml:space="preserve">Для проведения анализа </w:t>
      </w:r>
      <w:r w:rsidR="001827ED" w:rsidRPr="00B6758D">
        <w:t>факторов материального благосостояния жителей регионов</w:t>
      </w:r>
      <w:r w:rsidR="00653779" w:rsidRPr="00B6758D">
        <w:t xml:space="preserve"> и</w:t>
      </w:r>
      <w:r w:rsidR="00653779">
        <w:t xml:space="preserve"> наглядного представления результатов этого анализа</w:t>
      </w:r>
      <w:r w:rsidR="001827ED">
        <w:t xml:space="preserve"> </w:t>
      </w:r>
      <w:r>
        <w:t xml:space="preserve">необходимо разбить регионы на группы в зависимости от уровня жизни населения. </w:t>
      </w:r>
      <w:r w:rsidR="00937265">
        <w:t xml:space="preserve">Мы сравним состояние вышеописанных факторов в каждой из групп регионов и тем самым сможем определить, за счет каких факторов обеспечивается благополучие регионов </w:t>
      </w:r>
      <w:r w:rsidR="00653779">
        <w:t xml:space="preserve">с </w:t>
      </w:r>
      <w:r w:rsidR="003C4F13">
        <w:t xml:space="preserve">относительно </w:t>
      </w:r>
      <w:r w:rsidR="00653779">
        <w:t xml:space="preserve">высоким уровнем жизни </w:t>
      </w:r>
      <w:r w:rsidR="00937265">
        <w:t>и с чем связан</w:t>
      </w:r>
      <w:r w:rsidR="00653779">
        <w:t>о неблагополучие регионов с</w:t>
      </w:r>
      <w:r w:rsidR="00937265">
        <w:t xml:space="preserve"> </w:t>
      </w:r>
      <w:r w:rsidR="003C4F13">
        <w:t xml:space="preserve">относительно </w:t>
      </w:r>
      <w:r w:rsidR="00937265">
        <w:t>низки</w:t>
      </w:r>
      <w:r w:rsidR="00653779">
        <w:t>м</w:t>
      </w:r>
      <w:r w:rsidR="00937265">
        <w:t xml:space="preserve"> уровн</w:t>
      </w:r>
      <w:r w:rsidR="00653779">
        <w:t>ем</w:t>
      </w:r>
      <w:r w:rsidR="00937265">
        <w:t xml:space="preserve"> жизни. </w:t>
      </w:r>
    </w:p>
    <w:p w:rsidR="00CF39B5" w:rsidRDefault="007F025B" w:rsidP="00FF5892">
      <w:pPr>
        <w:spacing w:before="120"/>
        <w:jc w:val="both"/>
      </w:pPr>
      <w:r>
        <w:t xml:space="preserve">В качестве базового показателя для классификации регионов был взят экономический индекс человеческого развития </w:t>
      </w:r>
      <w:r w:rsidR="00066D7B">
        <w:t xml:space="preserve">(ЭИЧР) </w:t>
      </w:r>
      <w:r>
        <w:t xml:space="preserve">за 2004-2008 гг., методология разработки которого описана в </w:t>
      </w:r>
      <w:r w:rsidRPr="00066D7B">
        <w:rPr>
          <w:highlight w:val="yellow"/>
        </w:rPr>
        <w:t>1 главе</w:t>
      </w:r>
      <w:r>
        <w:t>. На наш взгляд, данный показатель лучше других</w:t>
      </w:r>
      <w:r w:rsidR="00842988">
        <w:t xml:space="preserve">, из имеющихся в распоряжении авторов Доклада, </w:t>
      </w:r>
      <w:r>
        <w:t xml:space="preserve">отражает уровень </w:t>
      </w:r>
      <w:r w:rsidRPr="003C4F13">
        <w:rPr>
          <w:b/>
        </w:rPr>
        <w:t>располагаем</w:t>
      </w:r>
      <w:r w:rsidR="0036438C" w:rsidRPr="003C4F13">
        <w:rPr>
          <w:b/>
        </w:rPr>
        <w:t>ых</w:t>
      </w:r>
      <w:r w:rsidRPr="003C4F13">
        <w:rPr>
          <w:b/>
        </w:rPr>
        <w:t xml:space="preserve"> доход</w:t>
      </w:r>
      <w:r w:rsidR="0036438C" w:rsidRPr="003C4F13">
        <w:rPr>
          <w:b/>
        </w:rPr>
        <w:t>ов населения</w:t>
      </w:r>
      <w:r w:rsidRPr="003C4F13">
        <w:rPr>
          <w:b/>
        </w:rPr>
        <w:t xml:space="preserve"> </w:t>
      </w:r>
      <w:r w:rsidR="0036438C" w:rsidRPr="003C4F13">
        <w:rPr>
          <w:b/>
        </w:rPr>
        <w:t xml:space="preserve">в </w:t>
      </w:r>
      <w:r w:rsidRPr="003C4F13">
        <w:rPr>
          <w:b/>
        </w:rPr>
        <w:t>регион</w:t>
      </w:r>
      <w:r w:rsidR="0036438C" w:rsidRPr="003C4F13">
        <w:rPr>
          <w:b/>
        </w:rPr>
        <w:t>ах</w:t>
      </w:r>
      <w:r w:rsidRPr="003C4F13">
        <w:rPr>
          <w:b/>
        </w:rPr>
        <w:t xml:space="preserve"> Узбекистана</w:t>
      </w:r>
      <w:r w:rsidR="003C4F13">
        <w:t>, так как включает в себя все основные компоненты располагаемого дохода: потребительские расходы, сбережения и инвестиции населения.</w:t>
      </w:r>
      <w:r>
        <w:t xml:space="preserve"> </w:t>
      </w:r>
      <w:r w:rsidR="00E128A1" w:rsidRPr="00E128A1">
        <w:t xml:space="preserve">Мы также воспользуемся классификацией регионов, приведенной в </w:t>
      </w:r>
      <w:r w:rsidR="00E128A1" w:rsidRPr="00E128A1">
        <w:rPr>
          <w:highlight w:val="yellow"/>
        </w:rPr>
        <w:t>1 главе</w:t>
      </w:r>
      <w:r w:rsidR="00842988">
        <w:t xml:space="preserve"> (</w:t>
      </w:r>
      <w:r w:rsidR="00DE1F69">
        <w:t>классификация построена на основе среднего значения ЭИЧР за 2004-2008 гг.)</w:t>
      </w:r>
      <w:r w:rsidR="00E128A1" w:rsidRPr="00E128A1">
        <w:t xml:space="preserve">: </w:t>
      </w:r>
    </w:p>
    <w:p w:rsidR="00CF39B5" w:rsidRDefault="00E128A1" w:rsidP="00FF5892">
      <w:pPr>
        <w:spacing w:before="120"/>
        <w:jc w:val="both"/>
      </w:pPr>
      <w:r w:rsidRPr="00E128A1">
        <w:t>1) Ташкент;</w:t>
      </w:r>
      <w:r w:rsidR="00E64621">
        <w:t xml:space="preserve"> </w:t>
      </w:r>
    </w:p>
    <w:p w:rsidR="00CF39B5" w:rsidRDefault="00E128A1" w:rsidP="00FF5892">
      <w:pPr>
        <w:spacing w:before="120"/>
        <w:jc w:val="both"/>
      </w:pPr>
      <w:r w:rsidRPr="00E128A1">
        <w:t>2) регионы высоким ЭИЧР (</w:t>
      </w:r>
      <w:r w:rsidRPr="00E128A1">
        <w:rPr>
          <w:color w:val="000000"/>
        </w:rPr>
        <w:t>Навоийская, Ташкентская, Андижанская и Бухарская области)</w:t>
      </w:r>
      <w:r w:rsidRPr="00E128A1">
        <w:t xml:space="preserve">, </w:t>
      </w:r>
    </w:p>
    <w:p w:rsidR="00CF39B5" w:rsidRDefault="00E128A1" w:rsidP="00FF5892">
      <w:pPr>
        <w:spacing w:before="120"/>
        <w:jc w:val="both"/>
        <w:rPr>
          <w:color w:val="000000"/>
        </w:rPr>
      </w:pPr>
      <w:r w:rsidRPr="00E128A1">
        <w:t>3) регионы со средним ЭИЧР (</w:t>
      </w:r>
      <w:r w:rsidRPr="00E128A1">
        <w:rPr>
          <w:color w:val="000000"/>
        </w:rPr>
        <w:t xml:space="preserve">Ферганская, Хорезмская, Самаркандская, Наманганская, Сурхандарьинская области), </w:t>
      </w:r>
    </w:p>
    <w:p w:rsidR="00CF39B5" w:rsidRDefault="00E128A1" w:rsidP="00FF5892">
      <w:pPr>
        <w:spacing w:before="120"/>
        <w:jc w:val="both"/>
      </w:pPr>
      <w:r w:rsidRPr="00E128A1">
        <w:t>4) регионы низким</w:t>
      </w:r>
      <w:r w:rsidR="00E64621">
        <w:t>и</w:t>
      </w:r>
      <w:r w:rsidRPr="00E128A1">
        <w:t xml:space="preserve"> значениями экономического индекса человеческого развития (</w:t>
      </w:r>
      <w:r w:rsidRPr="00E128A1">
        <w:rPr>
          <w:color w:val="000000"/>
        </w:rPr>
        <w:t>Сырдарьинская, Кашкадарьинская, Джизакская области и Республика Каракалпакстан)</w:t>
      </w:r>
      <w:r w:rsidRPr="00E128A1">
        <w:t xml:space="preserve">. </w:t>
      </w:r>
    </w:p>
    <w:p w:rsidR="00FF5892" w:rsidRDefault="00FF5892" w:rsidP="00FF5892">
      <w:pPr>
        <w:spacing w:before="120"/>
        <w:jc w:val="both"/>
      </w:pPr>
      <w:r>
        <w:t>В иллюстративных целях мы также будем приводить данные по более укрупненной разбивке: а) регионы с высоким ЭИЧР, б) регионы с высоким ЭИЧР (без Ташкента), в) регионы со средним и низким ЭИЧР.</w:t>
      </w:r>
    </w:p>
    <w:p w:rsidR="00496D8F" w:rsidRDefault="00496D8F">
      <w:pPr>
        <w:spacing w:after="200" w:line="276" w:lineRule="auto"/>
        <w:rPr>
          <w:b/>
          <w:sz w:val="28"/>
          <w:szCs w:val="28"/>
        </w:rPr>
      </w:pPr>
      <w:r>
        <w:rPr>
          <w:b/>
          <w:sz w:val="28"/>
          <w:szCs w:val="28"/>
        </w:rPr>
        <w:br w:type="page"/>
      </w:r>
    </w:p>
    <w:p w:rsidR="002F4925" w:rsidRPr="00496D8F" w:rsidRDefault="002F4925" w:rsidP="002F4925">
      <w:pPr>
        <w:spacing w:before="120"/>
        <w:jc w:val="center"/>
        <w:rPr>
          <w:b/>
          <w:sz w:val="28"/>
          <w:szCs w:val="28"/>
        </w:rPr>
      </w:pPr>
      <w:r w:rsidRPr="00496D8F">
        <w:rPr>
          <w:b/>
          <w:sz w:val="28"/>
          <w:szCs w:val="28"/>
        </w:rPr>
        <w:lastRenderedPageBreak/>
        <w:t xml:space="preserve">2.1. </w:t>
      </w:r>
      <w:r w:rsidR="00CA14FF" w:rsidRPr="00496D8F">
        <w:rPr>
          <w:b/>
          <w:sz w:val="28"/>
          <w:szCs w:val="28"/>
        </w:rPr>
        <w:t>З</w:t>
      </w:r>
      <w:r w:rsidRPr="00496D8F">
        <w:rPr>
          <w:b/>
          <w:sz w:val="28"/>
          <w:szCs w:val="28"/>
        </w:rPr>
        <w:t>анятость и качество человеческого капитала</w:t>
      </w:r>
    </w:p>
    <w:p w:rsidR="00E14ACF" w:rsidRDefault="00E14ACF" w:rsidP="00AF410B">
      <w:pPr>
        <w:spacing w:before="120"/>
        <w:jc w:val="both"/>
      </w:pPr>
    </w:p>
    <w:p w:rsidR="00AF410B" w:rsidRDefault="00AF410B" w:rsidP="00AF410B">
      <w:pPr>
        <w:spacing w:before="120"/>
        <w:jc w:val="both"/>
      </w:pPr>
      <w:r>
        <w:t>В процессе экономической деятельности люди используют находящиеся в их распоряжении ресурсы – труд, капитал, земл</w:t>
      </w:r>
      <w:r w:rsidR="00A14C1B">
        <w:t>ю</w:t>
      </w:r>
      <w:r>
        <w:t xml:space="preserve"> и пр. В современной экономике самым ценным ресурсом является </w:t>
      </w:r>
      <w:r w:rsidRPr="0006539D">
        <w:rPr>
          <w:b/>
        </w:rPr>
        <w:t>рабочая сила</w:t>
      </w:r>
      <w:r>
        <w:t>, под которой подразумевают способность потенциального работ</w:t>
      </w:r>
      <w:r w:rsidR="002C20BD">
        <w:t>ни</w:t>
      </w:r>
      <w:r>
        <w:t>ка осуществлять производственную деятельность. Эта способность зависит от квалификации работник</w:t>
      </w:r>
      <w:r w:rsidR="00A14C1B">
        <w:t>а</w:t>
      </w:r>
      <w:r>
        <w:t xml:space="preserve">, </w:t>
      </w:r>
      <w:r w:rsidR="00A14C1B">
        <w:t>его</w:t>
      </w:r>
      <w:r>
        <w:t xml:space="preserve"> знаний и навыков, стимулов, побуждающих к эффективной работе. Иногда для обозначения данного ресурс</w:t>
      </w:r>
      <w:r w:rsidR="00E64621">
        <w:t>а</w:t>
      </w:r>
      <w:r>
        <w:t xml:space="preserve"> используется </w:t>
      </w:r>
      <w:r w:rsidR="00CF2792">
        <w:t>понятие</w:t>
      </w:r>
      <w:r>
        <w:t xml:space="preserve"> «</w:t>
      </w:r>
      <w:r w:rsidRPr="0006539D">
        <w:rPr>
          <w:b/>
        </w:rPr>
        <w:t>человеческий капитал</w:t>
      </w:r>
      <w:r>
        <w:t xml:space="preserve">». Смысл этого термина в том, что для повышения качества рабочей силы необходимо </w:t>
      </w:r>
      <w:r w:rsidR="00E64621">
        <w:t>затрачивать</w:t>
      </w:r>
      <w:r>
        <w:t xml:space="preserve"> усилия и </w:t>
      </w:r>
      <w:r w:rsidR="00E64621">
        <w:t xml:space="preserve">делать определенные </w:t>
      </w:r>
      <w:r>
        <w:t xml:space="preserve">расходы (как и в случае с физическим капиталом нужно осуществлять инвестиции в покупку и модернизацию </w:t>
      </w:r>
      <w:r w:rsidR="0006539D">
        <w:t>технологий и оборудования). Речь идет</w:t>
      </w:r>
      <w:r w:rsidR="009715C5">
        <w:t>,</w:t>
      </w:r>
      <w:r w:rsidR="0006539D">
        <w:t xml:space="preserve"> прежде всего</w:t>
      </w:r>
      <w:r w:rsidR="009715C5">
        <w:t>,</w:t>
      </w:r>
      <w:r w:rsidR="0006539D">
        <w:t xml:space="preserve"> о</w:t>
      </w:r>
      <w:r w:rsidR="00E64621">
        <w:t>б</w:t>
      </w:r>
      <w:r w:rsidR="0006539D">
        <w:t xml:space="preserve"> инвестициях в повышение квалификации и здоровье людей. В «накапливании», улучшении качества человеческого капитала заинтересованы и сами работники, и их наниматели, и </w:t>
      </w:r>
      <w:r w:rsidR="00A14C1B">
        <w:t xml:space="preserve">все </w:t>
      </w:r>
      <w:r w:rsidR="0006539D">
        <w:t xml:space="preserve">общество. Чем лучше качество человеческого капитала, тем выше производительность </w:t>
      </w:r>
      <w:r w:rsidR="00F87C60">
        <w:t>труда</w:t>
      </w:r>
      <w:r w:rsidR="0006539D">
        <w:t>, а, следовательно, выше уровень благосостояния и самих работников и населения в целом.</w:t>
      </w:r>
    </w:p>
    <w:p w:rsidR="00AF410B" w:rsidRDefault="00AF410B" w:rsidP="00AF410B">
      <w:pPr>
        <w:spacing w:before="120"/>
        <w:jc w:val="both"/>
        <w:rPr>
          <w:b/>
        </w:rPr>
      </w:pPr>
      <w:r w:rsidRPr="00CD59A6">
        <w:rPr>
          <w:b/>
        </w:rPr>
        <w:t xml:space="preserve">Таблица </w:t>
      </w:r>
      <w:r w:rsidR="004B09EA">
        <w:rPr>
          <w:b/>
        </w:rPr>
        <w:t>2.</w:t>
      </w:r>
      <w:r w:rsidR="0006539D">
        <w:rPr>
          <w:b/>
        </w:rPr>
        <w:t>1</w:t>
      </w:r>
      <w:r w:rsidRPr="00CD59A6">
        <w:rPr>
          <w:b/>
        </w:rPr>
        <w:t>.</w:t>
      </w:r>
      <w:r w:rsidR="0006539D">
        <w:rPr>
          <w:b/>
        </w:rPr>
        <w:t xml:space="preserve"> </w:t>
      </w:r>
      <w:r w:rsidR="009715C5">
        <w:rPr>
          <w:b/>
        </w:rPr>
        <w:t>Основные показатели занятости</w:t>
      </w:r>
      <w:r w:rsidR="0006539D">
        <w:rPr>
          <w:b/>
        </w:rPr>
        <w:t xml:space="preserve"> по регионам Узбекистана, тыс. чел.</w:t>
      </w:r>
    </w:p>
    <w:tbl>
      <w:tblPr>
        <w:tblW w:w="9551" w:type="dxa"/>
        <w:tblInd w:w="98" w:type="dxa"/>
        <w:tblLayout w:type="fixed"/>
        <w:tblLook w:val="04A0"/>
      </w:tblPr>
      <w:tblGrid>
        <w:gridCol w:w="2278"/>
        <w:gridCol w:w="1276"/>
        <w:gridCol w:w="1681"/>
        <w:gridCol w:w="1863"/>
        <w:gridCol w:w="1498"/>
        <w:gridCol w:w="955"/>
      </w:tblGrid>
      <w:tr w:rsidR="00230ED3" w:rsidTr="006C5E30">
        <w:trPr>
          <w:trHeight w:val="1591"/>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230ED3" w:rsidRDefault="00230ED3">
            <w:pPr>
              <w:jc w:val="center"/>
              <w:rPr>
                <w:color w:val="000000"/>
                <w:sz w:val="20"/>
                <w:szCs w:val="20"/>
              </w:rPr>
            </w:pPr>
            <w:r>
              <w:rPr>
                <w:color w:val="000000"/>
                <w:sz w:val="20"/>
                <w:szCs w:val="20"/>
              </w:rPr>
              <w:t>Среднего-довая чис-ленность постоян-ного насе</w:t>
            </w:r>
            <w:r w:rsidR="009715C5">
              <w:rPr>
                <w:color w:val="000000"/>
                <w:sz w:val="20"/>
                <w:szCs w:val="20"/>
              </w:rPr>
              <w:t>-</w:t>
            </w:r>
            <w:r>
              <w:rPr>
                <w:color w:val="000000"/>
                <w:sz w:val="20"/>
                <w:szCs w:val="20"/>
              </w:rPr>
              <w:t>ления, 2008 г.</w:t>
            </w:r>
            <w:r w:rsidR="009715C5">
              <w:rPr>
                <w:color w:val="000000"/>
                <w:sz w:val="20"/>
                <w:szCs w:val="20"/>
              </w:rPr>
              <w:t>, тыс. чел.</w:t>
            </w:r>
          </w:p>
        </w:tc>
        <w:tc>
          <w:tcPr>
            <w:tcW w:w="1681" w:type="dxa"/>
            <w:tcBorders>
              <w:top w:val="single" w:sz="4" w:space="0" w:color="auto"/>
              <w:left w:val="nil"/>
              <w:bottom w:val="single" w:sz="4" w:space="0" w:color="auto"/>
              <w:right w:val="single" w:sz="4" w:space="0" w:color="auto"/>
            </w:tcBorders>
            <w:shd w:val="clear" w:color="auto" w:fill="auto"/>
            <w:hideMark/>
          </w:tcPr>
          <w:p w:rsidR="00230ED3" w:rsidRDefault="00230ED3">
            <w:pPr>
              <w:jc w:val="center"/>
              <w:rPr>
                <w:color w:val="000000"/>
                <w:sz w:val="20"/>
                <w:szCs w:val="20"/>
              </w:rPr>
            </w:pPr>
            <w:r>
              <w:rPr>
                <w:color w:val="000000"/>
                <w:sz w:val="20"/>
                <w:szCs w:val="20"/>
              </w:rPr>
              <w:t>Доля лиц трудоспособного возраста в численности населения, среднее за 2004-2008 гг.</w:t>
            </w:r>
          </w:p>
        </w:tc>
        <w:tc>
          <w:tcPr>
            <w:tcW w:w="1863" w:type="dxa"/>
            <w:tcBorders>
              <w:top w:val="single" w:sz="4" w:space="0" w:color="auto"/>
              <w:left w:val="nil"/>
              <w:bottom w:val="single" w:sz="4" w:space="0" w:color="auto"/>
              <w:right w:val="single" w:sz="4" w:space="0" w:color="auto"/>
            </w:tcBorders>
            <w:shd w:val="clear" w:color="auto" w:fill="auto"/>
            <w:hideMark/>
          </w:tcPr>
          <w:p w:rsidR="00230ED3" w:rsidRDefault="00230ED3" w:rsidP="006C5E30">
            <w:pPr>
              <w:jc w:val="center"/>
              <w:rPr>
                <w:color w:val="000000"/>
                <w:sz w:val="20"/>
                <w:szCs w:val="20"/>
              </w:rPr>
            </w:pPr>
            <w:r>
              <w:rPr>
                <w:color w:val="000000"/>
                <w:sz w:val="20"/>
                <w:szCs w:val="20"/>
              </w:rPr>
              <w:t xml:space="preserve">Доля экономи-чески активного населения в </w:t>
            </w:r>
            <w:r w:rsidR="006C5E30">
              <w:rPr>
                <w:color w:val="000000"/>
                <w:sz w:val="20"/>
                <w:szCs w:val="20"/>
              </w:rPr>
              <w:t>населении трудоспособного возраста</w:t>
            </w:r>
            <w:r>
              <w:rPr>
                <w:color w:val="000000"/>
                <w:sz w:val="20"/>
                <w:szCs w:val="20"/>
              </w:rPr>
              <w:t>, среднее за 2004-2008 гг.</w:t>
            </w:r>
          </w:p>
        </w:tc>
        <w:tc>
          <w:tcPr>
            <w:tcW w:w="1498" w:type="dxa"/>
            <w:tcBorders>
              <w:top w:val="single" w:sz="4" w:space="0" w:color="auto"/>
              <w:left w:val="nil"/>
              <w:bottom w:val="single" w:sz="4" w:space="0" w:color="auto"/>
              <w:right w:val="single" w:sz="4" w:space="0" w:color="auto"/>
            </w:tcBorders>
            <w:shd w:val="clear" w:color="auto" w:fill="auto"/>
            <w:hideMark/>
          </w:tcPr>
          <w:p w:rsidR="00230ED3" w:rsidRDefault="00230ED3" w:rsidP="006C5E30">
            <w:pPr>
              <w:jc w:val="center"/>
              <w:rPr>
                <w:color w:val="000000"/>
                <w:sz w:val="20"/>
                <w:szCs w:val="20"/>
              </w:rPr>
            </w:pPr>
            <w:r>
              <w:rPr>
                <w:color w:val="000000"/>
                <w:sz w:val="20"/>
                <w:szCs w:val="20"/>
              </w:rPr>
              <w:t>Доля занятых в</w:t>
            </w:r>
            <w:r w:rsidR="006C5E30">
              <w:rPr>
                <w:color w:val="000000"/>
                <w:sz w:val="20"/>
                <w:szCs w:val="20"/>
              </w:rPr>
              <w:t xml:space="preserve"> населении трудоспо-собного возраста</w:t>
            </w:r>
            <w:r>
              <w:rPr>
                <w:color w:val="000000"/>
                <w:sz w:val="20"/>
                <w:szCs w:val="20"/>
              </w:rPr>
              <w:t>, среднее за 2004-2008 гг.</w:t>
            </w:r>
          </w:p>
        </w:tc>
        <w:tc>
          <w:tcPr>
            <w:tcW w:w="955" w:type="dxa"/>
            <w:tcBorders>
              <w:top w:val="single" w:sz="4" w:space="0" w:color="auto"/>
              <w:left w:val="nil"/>
              <w:bottom w:val="single" w:sz="4" w:space="0" w:color="auto"/>
              <w:right w:val="single" w:sz="4" w:space="0" w:color="auto"/>
            </w:tcBorders>
            <w:shd w:val="clear" w:color="auto" w:fill="auto"/>
            <w:hideMark/>
          </w:tcPr>
          <w:p w:rsidR="00230ED3" w:rsidRDefault="00230ED3">
            <w:pPr>
              <w:jc w:val="center"/>
              <w:rPr>
                <w:color w:val="000000"/>
                <w:sz w:val="20"/>
                <w:szCs w:val="20"/>
              </w:rPr>
            </w:pPr>
            <w:r>
              <w:rPr>
                <w:color w:val="000000"/>
                <w:sz w:val="20"/>
                <w:szCs w:val="20"/>
              </w:rPr>
              <w:t>Доля женщин среди занятых, среднее за 2004-2008 гг.</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Город Ташкент</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2 193,2</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65,3%</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81,2%</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80,0%</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45,9%</w:t>
            </w:r>
          </w:p>
        </w:tc>
      </w:tr>
      <w:tr w:rsidR="00230ED3" w:rsidTr="006C5E30">
        <w:trPr>
          <w:trHeight w:val="315"/>
        </w:trPr>
        <w:tc>
          <w:tcPr>
            <w:tcW w:w="9551" w:type="dxa"/>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0ED3" w:rsidRDefault="00230ED3">
            <w:pPr>
              <w:rPr>
                <w:color w:val="000000"/>
                <w:sz w:val="20"/>
                <w:szCs w:val="20"/>
              </w:rPr>
            </w:pPr>
            <w:r>
              <w:rPr>
                <w:color w:val="000000"/>
                <w:sz w:val="20"/>
                <w:szCs w:val="20"/>
              </w:rPr>
              <w:t>Регионы с высоким уровнем ЭИЧР </w:t>
            </w:r>
          </w:p>
        </w:tc>
      </w:tr>
      <w:tr w:rsidR="009715C5"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Навоийская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834,1</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58,6%</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81,8%</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79,7%</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40,0%</w:t>
            </w:r>
          </w:p>
        </w:tc>
      </w:tr>
      <w:tr w:rsidR="009715C5"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Ташкентская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2 537,5</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57,4%</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74,4%</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73,1%</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44,2%</w:t>
            </w:r>
          </w:p>
        </w:tc>
      </w:tr>
      <w:tr w:rsidR="009715C5"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Андижанская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2 475,5</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56,6%</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74,5%</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72,6%</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45,7%</w:t>
            </w:r>
          </w:p>
        </w:tc>
      </w:tr>
      <w:tr w:rsidR="009715C5"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Бухарская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1 577,5</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57,4%</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79,6%</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78,0%</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44,6%</w:t>
            </w:r>
          </w:p>
        </w:tc>
      </w:tr>
      <w:tr w:rsidR="00230ED3" w:rsidTr="006C5E30">
        <w:trPr>
          <w:trHeight w:val="315"/>
        </w:trPr>
        <w:tc>
          <w:tcPr>
            <w:tcW w:w="9551" w:type="dxa"/>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0ED3" w:rsidRDefault="00230ED3">
            <w:pPr>
              <w:rPr>
                <w:color w:val="000000"/>
                <w:sz w:val="20"/>
                <w:szCs w:val="20"/>
              </w:rPr>
            </w:pPr>
            <w:r>
              <w:rPr>
                <w:color w:val="000000"/>
                <w:sz w:val="20"/>
                <w:szCs w:val="20"/>
              </w:rPr>
              <w:t>Регионы со средним уровнем ЭИЧР </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Ферганская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2 997,1</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54,6%</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77,9%</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76,0%</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45,9%</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Хорезмская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1 517,5</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55,1%</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68,3%</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66,6%</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44,2%</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Самаркандская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3 032,5</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53,7%</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70,4%</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68,7%</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41,9%</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Наманганская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2 195,7</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55,3%</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62,8%</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61,1%</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42,5%</w:t>
            </w:r>
          </w:p>
        </w:tc>
      </w:tr>
      <w:tr w:rsidR="00230ED3"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30ED3" w:rsidRDefault="00230ED3">
            <w:pPr>
              <w:rPr>
                <w:color w:val="000000"/>
                <w:sz w:val="20"/>
                <w:szCs w:val="20"/>
              </w:rPr>
            </w:pPr>
            <w:r>
              <w:rPr>
                <w:color w:val="000000"/>
                <w:sz w:val="20"/>
                <w:szCs w:val="20"/>
              </w:rPr>
              <w:t>Сурхандарьинская обл.</w:t>
            </w:r>
          </w:p>
        </w:tc>
        <w:tc>
          <w:tcPr>
            <w:tcW w:w="1276" w:type="dxa"/>
            <w:tcBorders>
              <w:top w:val="nil"/>
              <w:left w:val="nil"/>
              <w:bottom w:val="single" w:sz="4" w:space="0" w:color="auto"/>
              <w:right w:val="single" w:sz="4" w:space="0" w:color="auto"/>
            </w:tcBorders>
            <w:shd w:val="clear" w:color="auto" w:fill="auto"/>
            <w:vAlign w:val="bottom"/>
            <w:hideMark/>
          </w:tcPr>
          <w:p w:rsidR="00230ED3" w:rsidRDefault="00230ED3">
            <w:pPr>
              <w:jc w:val="center"/>
              <w:rPr>
                <w:color w:val="000000"/>
                <w:sz w:val="20"/>
                <w:szCs w:val="20"/>
              </w:rPr>
            </w:pPr>
            <w:r>
              <w:rPr>
                <w:color w:val="000000"/>
                <w:sz w:val="20"/>
                <w:szCs w:val="20"/>
              </w:rPr>
              <w:t>2 013,0</w:t>
            </w:r>
          </w:p>
        </w:tc>
        <w:tc>
          <w:tcPr>
            <w:tcW w:w="1681"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52,8%</w:t>
            </w:r>
          </w:p>
        </w:tc>
        <w:tc>
          <w:tcPr>
            <w:tcW w:w="1863"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67,3%</w:t>
            </w:r>
          </w:p>
        </w:tc>
        <w:tc>
          <w:tcPr>
            <w:tcW w:w="1498"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65,9%</w:t>
            </w:r>
          </w:p>
        </w:tc>
        <w:tc>
          <w:tcPr>
            <w:tcW w:w="955" w:type="dxa"/>
            <w:tcBorders>
              <w:top w:val="nil"/>
              <w:left w:val="nil"/>
              <w:bottom w:val="single" w:sz="4" w:space="0" w:color="auto"/>
              <w:right w:val="single" w:sz="4" w:space="0" w:color="auto"/>
            </w:tcBorders>
            <w:shd w:val="clear" w:color="auto" w:fill="auto"/>
            <w:noWrap/>
            <w:vAlign w:val="bottom"/>
            <w:hideMark/>
          </w:tcPr>
          <w:p w:rsidR="00230ED3" w:rsidRDefault="00230ED3">
            <w:pPr>
              <w:jc w:val="center"/>
              <w:rPr>
                <w:color w:val="000000"/>
                <w:sz w:val="20"/>
                <w:szCs w:val="20"/>
              </w:rPr>
            </w:pPr>
            <w:r>
              <w:rPr>
                <w:color w:val="000000"/>
                <w:sz w:val="20"/>
                <w:szCs w:val="20"/>
              </w:rPr>
              <w:t>38,9%</w:t>
            </w:r>
          </w:p>
        </w:tc>
      </w:tr>
      <w:tr w:rsidR="00230ED3" w:rsidTr="006C5E30">
        <w:trPr>
          <w:trHeight w:val="315"/>
        </w:trPr>
        <w:tc>
          <w:tcPr>
            <w:tcW w:w="9551" w:type="dxa"/>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0ED3" w:rsidRDefault="00230ED3">
            <w:pPr>
              <w:rPr>
                <w:color w:val="000000"/>
                <w:sz w:val="20"/>
                <w:szCs w:val="20"/>
              </w:rPr>
            </w:pPr>
            <w:r>
              <w:rPr>
                <w:color w:val="000000"/>
                <w:sz w:val="20"/>
                <w:szCs w:val="20"/>
              </w:rPr>
              <w:t>Регионы с низким уровнем ЭИЧР </w:t>
            </w:r>
          </w:p>
        </w:tc>
      </w:tr>
      <w:tr w:rsidR="009715C5" w:rsidTr="006C5E30">
        <w:trPr>
          <w:trHeight w:val="31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Сырдарьинская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698,2</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55,7%</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77,3%</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75,9%</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38,5%</w:t>
            </w:r>
          </w:p>
        </w:tc>
      </w:tr>
      <w:tr w:rsidR="009715C5" w:rsidTr="006C5E30">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Кашкадарьинская обл.</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2 536,5</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53,2%</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67,0%</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65,4%</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38,0%</w:t>
            </w:r>
          </w:p>
        </w:tc>
      </w:tr>
      <w:tr w:rsidR="009715C5" w:rsidTr="006C5E30">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Джизакская область</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1 088,9</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53,5%</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61,4%</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60,2%</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35,3%</w:t>
            </w:r>
          </w:p>
        </w:tc>
      </w:tr>
      <w:tr w:rsidR="009715C5" w:rsidTr="006C5E30">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9715C5" w:rsidRDefault="009715C5">
            <w:pPr>
              <w:rPr>
                <w:color w:val="000000"/>
                <w:sz w:val="20"/>
                <w:szCs w:val="20"/>
              </w:rPr>
            </w:pPr>
            <w:r>
              <w:rPr>
                <w:color w:val="000000"/>
                <w:sz w:val="20"/>
                <w:szCs w:val="20"/>
              </w:rPr>
              <w:t>Респ. Каракалпакстан</w:t>
            </w:r>
          </w:p>
        </w:tc>
        <w:tc>
          <w:tcPr>
            <w:tcW w:w="1276" w:type="dxa"/>
            <w:tcBorders>
              <w:top w:val="nil"/>
              <w:left w:val="nil"/>
              <w:bottom w:val="single" w:sz="4" w:space="0" w:color="auto"/>
              <w:right w:val="single" w:sz="4" w:space="0" w:color="auto"/>
            </w:tcBorders>
            <w:shd w:val="clear" w:color="auto" w:fill="auto"/>
            <w:vAlign w:val="bottom"/>
            <w:hideMark/>
          </w:tcPr>
          <w:p w:rsidR="009715C5" w:rsidRDefault="009715C5">
            <w:pPr>
              <w:jc w:val="center"/>
              <w:rPr>
                <w:color w:val="000000"/>
                <w:sz w:val="20"/>
                <w:szCs w:val="20"/>
              </w:rPr>
            </w:pPr>
            <w:r>
              <w:rPr>
                <w:color w:val="000000"/>
                <w:sz w:val="20"/>
                <w:szCs w:val="20"/>
              </w:rPr>
              <w:t>1 605,5</w:t>
            </w:r>
          </w:p>
        </w:tc>
        <w:tc>
          <w:tcPr>
            <w:tcW w:w="1681"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55,0%</w:t>
            </w:r>
          </w:p>
        </w:tc>
        <w:tc>
          <w:tcPr>
            <w:tcW w:w="1863"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64,6%</w:t>
            </w:r>
          </w:p>
        </w:tc>
        <w:tc>
          <w:tcPr>
            <w:tcW w:w="1498"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62,3%</w:t>
            </w:r>
          </w:p>
        </w:tc>
        <w:tc>
          <w:tcPr>
            <w:tcW w:w="955" w:type="dxa"/>
            <w:tcBorders>
              <w:top w:val="nil"/>
              <w:left w:val="nil"/>
              <w:bottom w:val="single" w:sz="4" w:space="0" w:color="auto"/>
              <w:right w:val="single" w:sz="4" w:space="0" w:color="auto"/>
            </w:tcBorders>
            <w:shd w:val="clear" w:color="auto" w:fill="auto"/>
            <w:noWrap/>
            <w:vAlign w:val="bottom"/>
            <w:hideMark/>
          </w:tcPr>
          <w:p w:rsidR="009715C5" w:rsidRDefault="009715C5">
            <w:pPr>
              <w:jc w:val="center"/>
              <w:rPr>
                <w:color w:val="000000"/>
                <w:sz w:val="20"/>
                <w:szCs w:val="20"/>
              </w:rPr>
            </w:pPr>
            <w:r>
              <w:rPr>
                <w:color w:val="000000"/>
                <w:sz w:val="20"/>
                <w:szCs w:val="20"/>
              </w:rPr>
              <w:t>44,5%</w:t>
            </w:r>
          </w:p>
        </w:tc>
      </w:tr>
    </w:tbl>
    <w:p w:rsidR="00494A0F" w:rsidRDefault="00E14ACF" w:rsidP="00494A0F">
      <w:pPr>
        <w:spacing w:before="120"/>
        <w:jc w:val="both"/>
      </w:pPr>
      <w:r w:rsidRPr="00E14ACF">
        <w:rPr>
          <w:b/>
        </w:rPr>
        <w:t>Трудовые ресурсы и занятость</w:t>
      </w:r>
      <w:r>
        <w:t xml:space="preserve">. </w:t>
      </w:r>
      <w:r w:rsidR="00494A0F">
        <w:t xml:space="preserve">В первую очередь оценим </w:t>
      </w:r>
      <w:r w:rsidR="00494A0F" w:rsidRPr="00E14ACF">
        <w:rPr>
          <w:b/>
          <w:i/>
        </w:rPr>
        <w:t>количественную сторону человеческого капитала</w:t>
      </w:r>
      <w:r w:rsidR="00494A0F">
        <w:t xml:space="preserve">. Об этой стороне говорит показатель числа </w:t>
      </w:r>
      <w:r w:rsidR="00494A0F" w:rsidRPr="00E64621">
        <w:rPr>
          <w:i/>
        </w:rPr>
        <w:t>лиц трудоспособного возраста</w:t>
      </w:r>
      <w:r w:rsidR="00494A0F">
        <w:t xml:space="preserve">. Если мы рассчитаем его как долю в численности населения, то увидим потенциал регионов в обладании трудовыми ресурсами (см. </w:t>
      </w:r>
      <w:r w:rsidR="00494A0F" w:rsidRPr="00732B76">
        <w:rPr>
          <w:highlight w:val="yellow"/>
        </w:rPr>
        <w:t xml:space="preserve">Таблицу </w:t>
      </w:r>
      <w:r w:rsidR="004B09EA">
        <w:rPr>
          <w:highlight w:val="yellow"/>
        </w:rPr>
        <w:t>2.</w:t>
      </w:r>
      <w:r w:rsidR="00494A0F" w:rsidRPr="00732B76">
        <w:rPr>
          <w:highlight w:val="yellow"/>
        </w:rPr>
        <w:t>1</w:t>
      </w:r>
      <w:r w:rsidR="00494A0F">
        <w:t xml:space="preserve">). </w:t>
      </w:r>
      <w:r w:rsidR="00494A0F" w:rsidRPr="00732B76">
        <w:rPr>
          <w:highlight w:val="yellow"/>
        </w:rPr>
        <w:t>Рисун</w:t>
      </w:r>
      <w:r w:rsidR="00494A0F">
        <w:rPr>
          <w:highlight w:val="yellow"/>
        </w:rPr>
        <w:t>о</w:t>
      </w:r>
      <w:r w:rsidR="00494A0F" w:rsidRPr="00732B76">
        <w:rPr>
          <w:highlight w:val="yellow"/>
        </w:rPr>
        <w:t xml:space="preserve">к </w:t>
      </w:r>
      <w:r w:rsidR="004B09EA">
        <w:rPr>
          <w:highlight w:val="yellow"/>
        </w:rPr>
        <w:t>2.</w:t>
      </w:r>
      <w:r w:rsidR="00494A0F" w:rsidRPr="00732B76">
        <w:rPr>
          <w:highlight w:val="yellow"/>
        </w:rPr>
        <w:t>1</w:t>
      </w:r>
      <w:r w:rsidR="00494A0F">
        <w:t xml:space="preserve"> иллюстрирует, что в регионах с более высоким уровнем экономического индекса человеческого развития (ЭИЧР) доля лиц трудоспособного возраста в численности </w:t>
      </w:r>
      <w:r w:rsidR="00494A0F">
        <w:lastRenderedPageBreak/>
        <w:t>населения в среднем выше, чем в регионах со средним и низким уровнем ЭИЧР. Следовательно, при прочих равных условиях данные регионы имеют больший потенциал для экономического роста.</w:t>
      </w:r>
    </w:p>
    <w:p w:rsidR="00AF410B" w:rsidRDefault="00AF410B" w:rsidP="00AF410B">
      <w:pPr>
        <w:spacing w:before="120"/>
        <w:jc w:val="both"/>
        <w:rPr>
          <w:b/>
        </w:rPr>
      </w:pPr>
      <w:r w:rsidRPr="00F44A01">
        <w:rPr>
          <w:b/>
        </w:rPr>
        <w:t xml:space="preserve">Рисунок </w:t>
      </w:r>
      <w:r w:rsidR="004B09EA">
        <w:rPr>
          <w:b/>
        </w:rPr>
        <w:t>2.</w:t>
      </w:r>
      <w:r w:rsidR="00C27C31">
        <w:rPr>
          <w:b/>
        </w:rPr>
        <w:t>1</w:t>
      </w:r>
      <w:r w:rsidRPr="00F44A01">
        <w:rPr>
          <w:b/>
        </w:rPr>
        <w:t>.</w:t>
      </w:r>
      <w:r w:rsidR="00C27C31">
        <w:rPr>
          <w:b/>
        </w:rPr>
        <w:t xml:space="preserve"> Доля </w:t>
      </w:r>
      <w:r w:rsidR="008162BC">
        <w:rPr>
          <w:b/>
        </w:rPr>
        <w:t xml:space="preserve">лиц </w:t>
      </w:r>
      <w:r w:rsidR="00C27C31">
        <w:rPr>
          <w:b/>
        </w:rPr>
        <w:t>трудоспособн</w:t>
      </w:r>
      <w:r w:rsidR="008162BC">
        <w:rPr>
          <w:b/>
        </w:rPr>
        <w:t>ого возраста</w:t>
      </w:r>
      <w:r w:rsidR="00C27C31">
        <w:rPr>
          <w:b/>
        </w:rPr>
        <w:t xml:space="preserve"> и экономически активн</w:t>
      </w:r>
      <w:r w:rsidR="00621A71">
        <w:rPr>
          <w:b/>
        </w:rPr>
        <w:t>ого населения</w:t>
      </w:r>
      <w:r w:rsidR="00C27C31">
        <w:rPr>
          <w:b/>
        </w:rPr>
        <w:t xml:space="preserve"> в численности населении, </w:t>
      </w:r>
      <w:r w:rsidR="00CF2792">
        <w:rPr>
          <w:b/>
        </w:rPr>
        <w:t xml:space="preserve">а также </w:t>
      </w:r>
      <w:r w:rsidR="00632953">
        <w:rPr>
          <w:b/>
        </w:rPr>
        <w:t xml:space="preserve">доля </w:t>
      </w:r>
      <w:r w:rsidR="00C27C31">
        <w:rPr>
          <w:b/>
        </w:rPr>
        <w:t xml:space="preserve">занятых в </w:t>
      </w:r>
      <w:r w:rsidR="008A3303">
        <w:rPr>
          <w:b/>
        </w:rPr>
        <w:t xml:space="preserve">числе </w:t>
      </w:r>
      <w:r w:rsidR="008162BC">
        <w:rPr>
          <w:b/>
        </w:rPr>
        <w:t xml:space="preserve">лиц </w:t>
      </w:r>
      <w:r w:rsidR="00C27C31">
        <w:rPr>
          <w:b/>
        </w:rPr>
        <w:t>трудо</w:t>
      </w:r>
      <w:r w:rsidR="008A3303">
        <w:rPr>
          <w:b/>
        </w:rPr>
        <w:t>способн</w:t>
      </w:r>
      <w:r w:rsidR="008162BC">
        <w:rPr>
          <w:b/>
        </w:rPr>
        <w:t>ого возраста</w:t>
      </w:r>
      <w:r w:rsidR="00C27C31">
        <w:rPr>
          <w:b/>
        </w:rPr>
        <w:t xml:space="preserve"> – средние значения за 2004-2008 гг., в %.</w:t>
      </w:r>
    </w:p>
    <w:p w:rsidR="00632953" w:rsidRDefault="00421132" w:rsidP="00632953">
      <w:pPr>
        <w:spacing w:before="120"/>
        <w:jc w:val="center"/>
        <w:rPr>
          <w:b/>
        </w:rPr>
      </w:pPr>
      <w:r w:rsidRPr="00421132">
        <w:rPr>
          <w:b/>
          <w:noProof/>
        </w:rPr>
        <w:drawing>
          <wp:inline distT="0" distB="0" distL="0" distR="0">
            <wp:extent cx="4295775" cy="27336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1232" w:rsidRPr="00CA3946" w:rsidRDefault="00732B76" w:rsidP="00C81232">
      <w:pPr>
        <w:spacing w:before="120"/>
        <w:jc w:val="both"/>
      </w:pPr>
      <w:r>
        <w:t xml:space="preserve">Межрегиональные различия в доле </w:t>
      </w:r>
      <w:r w:rsidR="002C20BD">
        <w:t xml:space="preserve">населения </w:t>
      </w:r>
      <w:r>
        <w:t>трудо</w:t>
      </w:r>
      <w:r w:rsidR="008A3303">
        <w:t>способн</w:t>
      </w:r>
      <w:r w:rsidR="002C20BD">
        <w:t>ого возраста</w:t>
      </w:r>
      <w:r>
        <w:t xml:space="preserve"> объясняются демографическими причинами: </w:t>
      </w:r>
      <w:r w:rsidR="00F52BF7">
        <w:t>низкая доля трудоспособных об</w:t>
      </w:r>
      <w:r w:rsidR="00CA1E89">
        <w:t>условлен</w:t>
      </w:r>
      <w:r w:rsidR="00A14C1B">
        <w:t>а</w:t>
      </w:r>
      <w:r w:rsidR="00F52BF7">
        <w:t xml:space="preserve"> высокой долей детей и молодежи в общей численности населения, что в свою очередь является следствием более высоких темпов рождаемости - </w:t>
      </w:r>
      <w:r w:rsidR="00F52BF7" w:rsidRPr="00CD59A6">
        <w:rPr>
          <w:highlight w:val="yellow"/>
        </w:rPr>
        <w:t xml:space="preserve">см. Рисунок </w:t>
      </w:r>
      <w:r w:rsidR="004B09EA">
        <w:rPr>
          <w:highlight w:val="yellow"/>
        </w:rPr>
        <w:t>2.</w:t>
      </w:r>
      <w:r w:rsidR="00F52BF7">
        <w:rPr>
          <w:highlight w:val="yellow"/>
        </w:rPr>
        <w:t>2</w:t>
      </w:r>
      <w:r w:rsidR="00F52BF7">
        <w:t>.</w:t>
      </w:r>
      <w:r w:rsidR="00C81232">
        <w:t xml:space="preserve"> </w:t>
      </w:r>
    </w:p>
    <w:p w:rsidR="00732B76" w:rsidRPr="00F44A01" w:rsidRDefault="00732B76" w:rsidP="00732B76">
      <w:pPr>
        <w:spacing w:before="120"/>
        <w:jc w:val="both"/>
        <w:rPr>
          <w:b/>
        </w:rPr>
      </w:pPr>
      <w:r w:rsidRPr="00F44A01">
        <w:rPr>
          <w:b/>
        </w:rPr>
        <w:t xml:space="preserve">Рисунок </w:t>
      </w:r>
      <w:r>
        <w:rPr>
          <w:b/>
        </w:rPr>
        <w:t>2</w:t>
      </w:r>
      <w:r w:rsidRPr="00F44A01">
        <w:rPr>
          <w:b/>
        </w:rPr>
        <w:t>.</w:t>
      </w:r>
      <w:r w:rsidR="004B09EA">
        <w:rPr>
          <w:b/>
        </w:rPr>
        <w:t>2.</w:t>
      </w:r>
      <w:r>
        <w:rPr>
          <w:b/>
        </w:rPr>
        <w:t xml:space="preserve"> Естественный прирост населения и общий коэффициент рождаемости – средние значения за 2004-2008 гг., чел.</w:t>
      </w:r>
    </w:p>
    <w:p w:rsidR="00732B76" w:rsidRDefault="004213F1" w:rsidP="00732B76">
      <w:pPr>
        <w:spacing w:before="120"/>
        <w:jc w:val="center"/>
      </w:pPr>
      <w:r w:rsidRPr="004213F1">
        <w:rPr>
          <w:noProof/>
        </w:rPr>
        <w:drawing>
          <wp:inline distT="0" distB="0" distL="0" distR="0">
            <wp:extent cx="4324350" cy="2933700"/>
            <wp:effectExtent l="19050" t="0" r="19050"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69F1" w:rsidRDefault="00F52BF7" w:rsidP="00F52BF7">
      <w:pPr>
        <w:spacing w:before="120"/>
        <w:jc w:val="both"/>
      </w:pPr>
      <w:r>
        <w:t>Итак</w:t>
      </w:r>
      <w:r w:rsidR="00366901">
        <w:t>,</w:t>
      </w:r>
      <w:r>
        <w:t xml:space="preserve"> регионы </w:t>
      </w:r>
      <w:r w:rsidR="00CF2792">
        <w:t xml:space="preserve">с высоким ЭИЧР </w:t>
      </w:r>
      <w:r>
        <w:t xml:space="preserve">имеют больше </w:t>
      </w:r>
      <w:r w:rsidR="00FA69F1">
        <w:t xml:space="preserve">лиц в </w:t>
      </w:r>
      <w:r>
        <w:t>трудо</w:t>
      </w:r>
      <w:r w:rsidR="008A3303">
        <w:t>способн</w:t>
      </w:r>
      <w:r w:rsidR="00FA69F1">
        <w:t>ом возрасте</w:t>
      </w:r>
      <w:r w:rsidR="00CA1E89">
        <w:t xml:space="preserve"> (на число жителей)</w:t>
      </w:r>
      <w:r>
        <w:t xml:space="preserve">. Но важно не только обладать потенциалом, но и эффективно его использовать. Иными словами, человек, находящийся в трудоспособном возрасте, только тогда способен генерировать доходы, когда он занимается экономической деятельностью, то есть либо работает в качестве наемного работника, либо </w:t>
      </w:r>
      <w:r w:rsidR="00E64621">
        <w:t>осуществляет</w:t>
      </w:r>
      <w:r>
        <w:t xml:space="preserve"> предпринимательство</w:t>
      </w:r>
      <w:r w:rsidR="00E64621">
        <w:t xml:space="preserve">. Для </w:t>
      </w:r>
      <w:r w:rsidR="00E64621">
        <w:lastRenderedPageBreak/>
        <w:t>определения</w:t>
      </w:r>
      <w:r>
        <w:t xml:space="preserve"> потенциала использования трудовых ресурсов были рассчитаны показатели </w:t>
      </w:r>
      <w:r w:rsidR="00732B76">
        <w:t>дол</w:t>
      </w:r>
      <w:r>
        <w:t>и</w:t>
      </w:r>
      <w:r w:rsidR="00732B76">
        <w:t xml:space="preserve"> </w:t>
      </w:r>
      <w:r w:rsidR="00732B76" w:rsidRPr="00E64621">
        <w:rPr>
          <w:i/>
        </w:rPr>
        <w:t>экономически активного населения</w:t>
      </w:r>
      <w:r w:rsidR="00732B76">
        <w:t xml:space="preserve"> и дол</w:t>
      </w:r>
      <w:r>
        <w:t>и</w:t>
      </w:r>
      <w:r w:rsidR="00732B76">
        <w:t xml:space="preserve"> </w:t>
      </w:r>
      <w:r w:rsidR="00732B76" w:rsidRPr="004909A2">
        <w:rPr>
          <w:i/>
        </w:rPr>
        <w:t>занятых</w:t>
      </w:r>
      <w:r w:rsidR="00732B76">
        <w:t xml:space="preserve"> в</w:t>
      </w:r>
      <w:r w:rsidR="00E64621">
        <w:t xml:space="preserve"> населении</w:t>
      </w:r>
      <w:r w:rsidR="00732B76">
        <w:t xml:space="preserve"> трудо</w:t>
      </w:r>
      <w:r w:rsidR="008A3303">
        <w:t>способн</w:t>
      </w:r>
      <w:r w:rsidR="00E64621">
        <w:t>ого возраста</w:t>
      </w:r>
      <w:r w:rsidR="00732B76">
        <w:t xml:space="preserve"> (</w:t>
      </w:r>
      <w:r w:rsidR="00732B76" w:rsidRPr="00F44A01">
        <w:rPr>
          <w:highlight w:val="yellow"/>
        </w:rPr>
        <w:t xml:space="preserve">см. Таблицу </w:t>
      </w:r>
      <w:r w:rsidR="004B09EA">
        <w:rPr>
          <w:highlight w:val="yellow"/>
        </w:rPr>
        <w:t>2.</w:t>
      </w:r>
      <w:r>
        <w:rPr>
          <w:highlight w:val="yellow"/>
        </w:rPr>
        <w:t>1</w:t>
      </w:r>
      <w:r w:rsidR="00732B76">
        <w:t xml:space="preserve">). По </w:t>
      </w:r>
      <w:r>
        <w:t>этим двум показателям</w:t>
      </w:r>
      <w:r w:rsidR="00732B76">
        <w:t xml:space="preserve"> регионы с более высоким уровнем </w:t>
      </w:r>
      <w:r w:rsidR="00E64621">
        <w:t>Э</w:t>
      </w:r>
      <w:r w:rsidR="00FA69F1">
        <w:t>И</w:t>
      </w:r>
      <w:r w:rsidR="00E64621">
        <w:t>ЧР</w:t>
      </w:r>
      <w:r w:rsidR="00732B76">
        <w:t xml:space="preserve"> опережают регионы с более низким уровнем </w:t>
      </w:r>
      <w:r w:rsidR="00E64621">
        <w:t>ЭИЧР</w:t>
      </w:r>
      <w:r w:rsidR="00732B76">
        <w:t xml:space="preserve"> (см. </w:t>
      </w:r>
      <w:r w:rsidR="00732B76" w:rsidRPr="00F44A01">
        <w:rPr>
          <w:highlight w:val="yellow"/>
        </w:rPr>
        <w:t xml:space="preserve">Рисунок </w:t>
      </w:r>
      <w:r w:rsidR="004B09EA">
        <w:rPr>
          <w:highlight w:val="yellow"/>
        </w:rPr>
        <w:t>2.</w:t>
      </w:r>
      <w:r>
        <w:rPr>
          <w:highlight w:val="yellow"/>
        </w:rPr>
        <w:t>1</w:t>
      </w:r>
      <w:r w:rsidR="00732B76">
        <w:t xml:space="preserve">). </w:t>
      </w:r>
      <w:r w:rsidR="008C1041">
        <w:t>Причем разрыв весьма существенен, даже если регионы с высокими значениями ЭИЧР рассматривать без Ташкента.</w:t>
      </w:r>
    </w:p>
    <w:p w:rsidR="00972D67" w:rsidRDefault="00A172DA" w:rsidP="00A172DA">
      <w:pPr>
        <w:spacing w:before="120"/>
        <w:jc w:val="both"/>
      </w:pPr>
      <w:r>
        <w:t>В соответствии с данными официальной статистики</w:t>
      </w:r>
      <w:r w:rsidR="00972D67">
        <w:t>,</w:t>
      </w:r>
      <w:r>
        <w:t xml:space="preserve"> </w:t>
      </w:r>
      <w:r w:rsidRPr="008C1041">
        <w:rPr>
          <w:i/>
        </w:rPr>
        <w:t>доля женщин в численности занятых</w:t>
      </w:r>
      <w:r>
        <w:t xml:space="preserve"> в экономике Узбекистана составляет</w:t>
      </w:r>
      <w:r w:rsidR="0055144D" w:rsidRPr="0055144D">
        <w:t xml:space="preserve"> </w:t>
      </w:r>
      <w:r w:rsidR="0055144D">
        <w:t>около 43% (среднее значение за 2004-2008 гг.)</w:t>
      </w:r>
      <w:r>
        <w:t>. Важность этого показателя с точки зрения анализа состояния гендерного равенства трудно переоценить</w:t>
      </w:r>
      <w:r w:rsidR="00D90F00">
        <w:t xml:space="preserve">. </w:t>
      </w:r>
      <w:r w:rsidR="00972D67">
        <w:t xml:space="preserve">Он характеризует, насколько женщины имеют доступ к оплачиваемой работе, и соответственно, свидетельствует об уровне </w:t>
      </w:r>
      <w:r w:rsidR="008C1041">
        <w:t xml:space="preserve">их </w:t>
      </w:r>
      <w:r w:rsidR="00972D67">
        <w:t xml:space="preserve">независимости и материального благополучия. </w:t>
      </w:r>
    </w:p>
    <w:p w:rsidR="00A172DA" w:rsidRDefault="00D90F00" w:rsidP="00F52BF7">
      <w:pPr>
        <w:spacing w:before="120"/>
        <w:jc w:val="both"/>
      </w:pPr>
      <w:r>
        <w:t>Показатель доли женщин в занятости имеет хорошую положительную связь с</w:t>
      </w:r>
      <w:r w:rsidR="00CD0052">
        <w:t xml:space="preserve"> (см. </w:t>
      </w:r>
      <w:r w:rsidR="00CD0052" w:rsidRPr="00B55287">
        <w:rPr>
          <w:highlight w:val="yellow"/>
        </w:rPr>
        <w:t xml:space="preserve">Рисунок </w:t>
      </w:r>
      <w:r w:rsidR="004B09EA">
        <w:rPr>
          <w:highlight w:val="yellow"/>
        </w:rPr>
        <w:t>2.</w:t>
      </w:r>
      <w:r w:rsidR="00CD0052">
        <w:rPr>
          <w:highlight w:val="yellow"/>
        </w:rPr>
        <w:t>3</w:t>
      </w:r>
      <w:r w:rsidR="00CD0052">
        <w:t>)</w:t>
      </w:r>
      <w:r>
        <w:t>:</w:t>
      </w:r>
    </w:p>
    <w:p w:rsidR="00D90F00" w:rsidRDefault="00D90F00" w:rsidP="00F52BF7">
      <w:pPr>
        <w:spacing w:before="120"/>
        <w:jc w:val="both"/>
      </w:pPr>
      <w:r>
        <w:t>- уровнем урбанизации региона (доля городских жителей в общей численности населения);</w:t>
      </w:r>
    </w:p>
    <w:p w:rsidR="00D90F00" w:rsidRDefault="00D90F00" w:rsidP="00F52BF7">
      <w:pPr>
        <w:spacing w:before="120"/>
        <w:jc w:val="both"/>
      </w:pPr>
      <w:r>
        <w:t>- развитостью промышленного производства и способностью промышленности обеспечивать занятость (доля занятых в промышленности);</w:t>
      </w:r>
    </w:p>
    <w:p w:rsidR="00D90F00" w:rsidRDefault="00D90F00" w:rsidP="00F52BF7">
      <w:pPr>
        <w:spacing w:before="120"/>
        <w:jc w:val="both"/>
      </w:pPr>
      <w:r>
        <w:t>- средним уровнем располагаемого дохода жителей региона (показатель ЭИЧР);</w:t>
      </w:r>
    </w:p>
    <w:p w:rsidR="00D90F00" w:rsidRDefault="00D90F00" w:rsidP="00F52BF7">
      <w:pPr>
        <w:spacing w:before="120"/>
        <w:jc w:val="both"/>
      </w:pPr>
      <w:r>
        <w:t xml:space="preserve">- охватом детей </w:t>
      </w:r>
      <w:r w:rsidR="00CD0052">
        <w:t>детски</w:t>
      </w:r>
      <w:r w:rsidR="00972D67">
        <w:t>ми</w:t>
      </w:r>
      <w:r w:rsidR="00CD0052">
        <w:t xml:space="preserve"> </w:t>
      </w:r>
      <w:r>
        <w:t xml:space="preserve">дошкольными </w:t>
      </w:r>
      <w:r w:rsidR="00F87C60">
        <w:t xml:space="preserve">образовательными </w:t>
      </w:r>
      <w:r>
        <w:t>учреждениями</w:t>
      </w:r>
      <w:r w:rsidR="00CD0052">
        <w:t xml:space="preserve"> (ДД</w:t>
      </w:r>
      <w:r w:rsidR="00F87C60">
        <w:t>О</w:t>
      </w:r>
      <w:r w:rsidR="00CD0052">
        <w:t>У)</w:t>
      </w:r>
      <w:r>
        <w:t>.</w:t>
      </w:r>
    </w:p>
    <w:p w:rsidR="00750CC0" w:rsidRDefault="00750CC0" w:rsidP="00750CC0">
      <w:pPr>
        <w:spacing w:before="120"/>
        <w:jc w:val="both"/>
      </w:pPr>
      <w:r>
        <w:t>Эти взаимосвязи вполне объяснимы. Мировой опыт показывает, что урбанизация и индустриализация способствуют вовлечению женщин в общественное производство, а с другой стороны, активное вовлечение женщин способствует дальнейшему экономическому росту. Связь с располагаемым доходом и доступом к дошкольным учреждениям также очевидна: занятость женщин позволяет увеличивать размер семейных доходов, а наличие дошкольных учреждений облегчает женщинам возможность работать вне дома. Исключение из правил представляют Навоийская, Ташкентская, Сырдарьинская и Наманганская области, показатели уровня женской занятости которых отстают от лидеров – Ташкента, Ферганской и Андижанской областей, но при этом имеет место относительно высокие показатели урбанизации, развитости промышленности и охвата детей ДД</w:t>
      </w:r>
      <w:r w:rsidR="00F87C60">
        <w:t>О</w:t>
      </w:r>
      <w:r>
        <w:t>У.</w:t>
      </w:r>
    </w:p>
    <w:p w:rsidR="00750CC0" w:rsidRDefault="008A7AC9" w:rsidP="00F52BF7">
      <w:pPr>
        <w:spacing w:before="120"/>
        <w:jc w:val="both"/>
      </w:pPr>
      <w:r w:rsidRPr="00C66D0B">
        <w:t>От</w:t>
      </w:r>
      <w:r>
        <w:t>метим также, что от</w:t>
      </w:r>
      <w:r w:rsidRPr="00C66D0B">
        <w:t xml:space="preserve">носительно высокая занятость </w:t>
      </w:r>
      <w:r>
        <w:t xml:space="preserve">женщин </w:t>
      </w:r>
      <w:r w:rsidRPr="00C66D0B">
        <w:t>еще не означа</w:t>
      </w:r>
      <w:r>
        <w:t>е</w:t>
      </w:r>
      <w:r w:rsidRPr="00C66D0B">
        <w:t>т достижение гендерно</w:t>
      </w:r>
      <w:r>
        <w:t>го равенства</w:t>
      </w:r>
      <w:r w:rsidRPr="00C66D0B">
        <w:t>.</w:t>
      </w:r>
      <w:r w:rsidRPr="001675FB">
        <w:t xml:space="preserve"> </w:t>
      </w:r>
      <w:r>
        <w:t>Ж</w:t>
      </w:r>
      <w:r w:rsidRPr="001675FB">
        <w:t>енщины имеют тенденцию концентрироваться в низкооплачиваемых</w:t>
      </w:r>
      <w:r>
        <w:t xml:space="preserve"> отраслях. </w:t>
      </w:r>
      <w:r w:rsidRPr="001675FB">
        <w:t xml:space="preserve">На рынке труда присутствует четкая профессиональная сегрегация, когда женщины изначально ориентированы на отрасли, считающиеся «женскими» - легкая промышленность, образование, здравоохранение, культура. Доля </w:t>
      </w:r>
      <w:r w:rsidR="00F87C60">
        <w:t xml:space="preserve">занятых </w:t>
      </w:r>
      <w:r w:rsidRPr="001675FB">
        <w:t xml:space="preserve">женщин в этих сферах </w:t>
      </w:r>
      <w:r>
        <w:t>может быть</w:t>
      </w:r>
      <w:r w:rsidRPr="001675FB">
        <w:t xml:space="preserve"> </w:t>
      </w:r>
      <w:r w:rsidRPr="005146E1">
        <w:t xml:space="preserve">от 70% </w:t>
      </w:r>
      <w:r>
        <w:t>и выше</w:t>
      </w:r>
      <w:r>
        <w:rPr>
          <w:rStyle w:val="a5"/>
        </w:rPr>
        <w:footnoteReference w:id="3"/>
      </w:r>
      <w:r w:rsidRPr="005146E1">
        <w:t>,</w:t>
      </w:r>
      <w:r w:rsidRPr="001675FB">
        <w:t xml:space="preserve"> но и в них они</w:t>
      </w:r>
      <w:r w:rsidR="00F87C60">
        <w:t>,</w:t>
      </w:r>
      <w:r w:rsidRPr="001675FB">
        <w:t xml:space="preserve"> как правило</w:t>
      </w:r>
      <w:r w:rsidR="00F87C60">
        <w:t>,</w:t>
      </w:r>
      <w:r w:rsidRPr="001675FB">
        <w:t xml:space="preserve"> занимают руководящие должности значительно реже, чем мужчины.</w:t>
      </w:r>
      <w:r>
        <w:t xml:space="preserve"> Как показывает международный опыт, ж</w:t>
      </w:r>
      <w:r w:rsidRPr="001675FB">
        <w:t xml:space="preserve">енщины </w:t>
      </w:r>
      <w:r>
        <w:t>чаще мужчин вовлечены в незарегистрированную деятельность, что чревато отсутствием социальной защищенности (пенсий, пособий и больничных)</w:t>
      </w:r>
      <w:r w:rsidRPr="001675FB">
        <w:t xml:space="preserve">. </w:t>
      </w:r>
      <w:r>
        <w:t>Кроме того, с</w:t>
      </w:r>
      <w:r w:rsidRPr="001675FB">
        <w:t xml:space="preserve"> точки зрения доступа к занятости, женщины могут сталкиваться с дискриминацией на почве пола и возраста при приеме на работу, </w:t>
      </w:r>
      <w:r>
        <w:t>с сексуальными</w:t>
      </w:r>
      <w:r w:rsidRPr="001675FB">
        <w:t xml:space="preserve"> домогательствами и пр. </w:t>
      </w:r>
      <w:r>
        <w:t>Надо также помнить, что на женщин ложится большая часть домашней работы</w:t>
      </w:r>
      <w:r>
        <w:rPr>
          <w:rStyle w:val="a5"/>
        </w:rPr>
        <w:footnoteReference w:id="4"/>
      </w:r>
      <w:r>
        <w:t>.</w:t>
      </w:r>
    </w:p>
    <w:p w:rsidR="00AE57B3" w:rsidRDefault="00AE57B3" w:rsidP="00F52BF7">
      <w:pPr>
        <w:spacing w:before="120"/>
        <w:jc w:val="both"/>
        <w:rPr>
          <w:b/>
        </w:rPr>
        <w:sectPr w:rsidR="00AE57B3" w:rsidSect="00990672">
          <w:footerReference w:type="default" r:id="rId10"/>
          <w:pgSz w:w="11906" w:h="16838"/>
          <w:pgMar w:top="1134" w:right="850" w:bottom="1134" w:left="1701" w:header="708" w:footer="708" w:gutter="0"/>
          <w:cols w:space="708"/>
          <w:docGrid w:linePitch="360"/>
        </w:sectPr>
      </w:pPr>
    </w:p>
    <w:p w:rsidR="00B55287" w:rsidRDefault="00B55287" w:rsidP="00F52BF7">
      <w:pPr>
        <w:spacing w:before="120"/>
        <w:jc w:val="both"/>
        <w:rPr>
          <w:b/>
        </w:rPr>
      </w:pPr>
      <w:r w:rsidRPr="00B55287">
        <w:rPr>
          <w:b/>
        </w:rPr>
        <w:lastRenderedPageBreak/>
        <w:t xml:space="preserve">Рисунок </w:t>
      </w:r>
      <w:r w:rsidR="004B09EA">
        <w:rPr>
          <w:b/>
        </w:rPr>
        <w:t>2.</w:t>
      </w:r>
      <w:r w:rsidR="00CD0052">
        <w:rPr>
          <w:b/>
        </w:rPr>
        <w:t>3</w:t>
      </w:r>
      <w:r w:rsidRPr="00B55287">
        <w:rPr>
          <w:b/>
        </w:rPr>
        <w:t xml:space="preserve">. </w:t>
      </w:r>
      <w:r w:rsidR="00893A1C">
        <w:rPr>
          <w:b/>
        </w:rPr>
        <w:t>Связь</w:t>
      </w:r>
      <w:r w:rsidRPr="00B55287">
        <w:rPr>
          <w:b/>
        </w:rPr>
        <w:t xml:space="preserve"> показателя доли занятости женщин в общей численности</w:t>
      </w:r>
      <w:r w:rsidR="009F75BA">
        <w:rPr>
          <w:b/>
        </w:rPr>
        <w:t xml:space="preserve"> занятых с другими показателями.</w:t>
      </w:r>
    </w:p>
    <w:tbl>
      <w:tblPr>
        <w:tblStyle w:val="af5"/>
        <w:tblW w:w="0" w:type="auto"/>
        <w:tblLook w:val="04A0"/>
      </w:tblPr>
      <w:tblGrid>
        <w:gridCol w:w="7393"/>
        <w:gridCol w:w="7393"/>
      </w:tblGrid>
      <w:tr w:rsidR="00AE57B3" w:rsidTr="00AE57B3">
        <w:tc>
          <w:tcPr>
            <w:tcW w:w="7393" w:type="dxa"/>
          </w:tcPr>
          <w:p w:rsidR="00AE57B3" w:rsidRDefault="00AE57B3" w:rsidP="00AE57B3">
            <w:pPr>
              <w:spacing w:afterAutospacing="0"/>
              <w:jc w:val="both"/>
              <w:rPr>
                <w:b/>
              </w:rPr>
            </w:pPr>
            <w:r w:rsidRPr="00AE57B3">
              <w:rPr>
                <w:b/>
                <w:noProof/>
              </w:rPr>
              <w:drawing>
                <wp:inline distT="0" distB="0" distL="0" distR="0">
                  <wp:extent cx="4487334" cy="2783416"/>
                  <wp:effectExtent l="19050" t="0" r="27516"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7393" w:type="dxa"/>
          </w:tcPr>
          <w:p w:rsidR="00AE57B3" w:rsidRDefault="00AE57B3" w:rsidP="00AE57B3">
            <w:pPr>
              <w:spacing w:afterAutospacing="0"/>
              <w:jc w:val="both"/>
              <w:rPr>
                <w:b/>
              </w:rPr>
            </w:pPr>
            <w:r w:rsidRPr="00AE57B3">
              <w:rPr>
                <w:b/>
                <w:noProof/>
              </w:rPr>
              <w:drawing>
                <wp:inline distT="0" distB="0" distL="0" distR="0">
                  <wp:extent cx="4497917" cy="2778125"/>
                  <wp:effectExtent l="19050" t="0" r="16933" b="3175"/>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E57B3" w:rsidTr="00AE57B3">
        <w:tc>
          <w:tcPr>
            <w:tcW w:w="7393" w:type="dxa"/>
          </w:tcPr>
          <w:p w:rsidR="00AE57B3" w:rsidRDefault="00AE57B3" w:rsidP="00AE57B3">
            <w:pPr>
              <w:spacing w:afterAutospacing="0"/>
              <w:jc w:val="both"/>
              <w:rPr>
                <w:b/>
              </w:rPr>
            </w:pPr>
            <w:r w:rsidRPr="00AE57B3">
              <w:rPr>
                <w:b/>
                <w:noProof/>
              </w:rPr>
              <w:drawing>
                <wp:inline distT="0" distB="0" distL="0" distR="0">
                  <wp:extent cx="4519083" cy="2751666"/>
                  <wp:effectExtent l="19050" t="0" r="14817"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7393" w:type="dxa"/>
          </w:tcPr>
          <w:p w:rsidR="00AE57B3" w:rsidRDefault="00AE57B3" w:rsidP="00AE57B3">
            <w:pPr>
              <w:spacing w:afterAutospacing="0"/>
              <w:jc w:val="both"/>
              <w:rPr>
                <w:b/>
              </w:rPr>
            </w:pPr>
            <w:r w:rsidRPr="00AE57B3">
              <w:rPr>
                <w:b/>
                <w:noProof/>
              </w:rPr>
              <w:drawing>
                <wp:inline distT="0" distB="0" distL="0" distR="0">
                  <wp:extent cx="4487334" cy="2788707"/>
                  <wp:effectExtent l="19050" t="0" r="27516"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AE57B3" w:rsidRPr="00AE57B3" w:rsidRDefault="00AE57B3" w:rsidP="00F52BF7">
      <w:pPr>
        <w:spacing w:before="120"/>
        <w:jc w:val="both"/>
        <w:rPr>
          <w:b/>
          <w:sz w:val="4"/>
          <w:szCs w:val="4"/>
        </w:rPr>
      </w:pPr>
    </w:p>
    <w:p w:rsidR="00AE57B3" w:rsidRDefault="00AE57B3" w:rsidP="00F52BF7">
      <w:pPr>
        <w:spacing w:before="120"/>
        <w:jc w:val="both"/>
        <w:rPr>
          <w:b/>
        </w:rPr>
        <w:sectPr w:rsidR="00AE57B3" w:rsidSect="00AE57B3">
          <w:pgSz w:w="16838" w:h="11906" w:orient="landscape"/>
          <w:pgMar w:top="1134" w:right="1134" w:bottom="851" w:left="1134" w:header="709" w:footer="709" w:gutter="0"/>
          <w:cols w:space="708"/>
          <w:docGrid w:linePitch="360"/>
        </w:sectPr>
      </w:pPr>
    </w:p>
    <w:tbl>
      <w:tblPr>
        <w:tblStyle w:val="af5"/>
        <w:tblW w:w="0" w:type="auto"/>
        <w:shd w:val="clear" w:color="auto" w:fill="D9D9D9" w:themeFill="background1" w:themeFillShade="D9"/>
        <w:tblLook w:val="04A0"/>
      </w:tblPr>
      <w:tblGrid>
        <w:gridCol w:w="9571"/>
      </w:tblGrid>
      <w:tr w:rsidR="004B09EA" w:rsidTr="004B09EA">
        <w:tc>
          <w:tcPr>
            <w:tcW w:w="9571" w:type="dxa"/>
            <w:shd w:val="clear" w:color="auto" w:fill="D9D9D9" w:themeFill="background1" w:themeFillShade="D9"/>
          </w:tcPr>
          <w:p w:rsidR="004B09EA" w:rsidRPr="004B09EA" w:rsidRDefault="004B09EA" w:rsidP="004B09EA">
            <w:pPr>
              <w:spacing w:before="100" w:afterAutospacing="0"/>
              <w:jc w:val="both"/>
            </w:pPr>
            <w:r w:rsidRPr="004B09EA">
              <w:lastRenderedPageBreak/>
              <w:t xml:space="preserve">Предприниматели очень неохотно берут на работу молодых девушек. Потому что сначала придется потратить кучу времени и сил на ее обучение, на налаживание взаимосвязей с другими сотрудниками. А через год - другой она уйдет в декретный отпуск. В результате придется а) искать нового человека и опять-таки тратить усилия и время на его обучение, б) выплачивать из средств предприятия пособие ушедшей в декрет девушке (это обязанность появилась недавно: предприятие продолжает платить государству все те же социальные взносы, но теперь должно оплачивать и пособие), в) гарантированно взять эту девушку на работу на ту же позицию после декрета (то есть принятого после девушки человека, видимо, придется увольнять и опять тратить время на обучение девушки, забывшей все во время декрета). </w:t>
            </w:r>
          </w:p>
          <w:p w:rsidR="004B09EA" w:rsidRDefault="004B09EA" w:rsidP="00750CC0">
            <w:pPr>
              <w:spacing w:before="100" w:afterAutospacing="0"/>
              <w:jc w:val="right"/>
            </w:pPr>
            <w:r w:rsidRPr="004B09EA">
              <w:rPr>
                <w:i/>
              </w:rPr>
              <w:t xml:space="preserve">Из интервью </w:t>
            </w:r>
            <w:r w:rsidR="00750CC0">
              <w:rPr>
                <w:i/>
              </w:rPr>
              <w:t xml:space="preserve">с </w:t>
            </w:r>
            <w:r w:rsidRPr="004B09EA">
              <w:rPr>
                <w:i/>
              </w:rPr>
              <w:t>представител</w:t>
            </w:r>
            <w:r w:rsidR="00750CC0">
              <w:rPr>
                <w:i/>
              </w:rPr>
              <w:t>ями</w:t>
            </w:r>
            <w:r w:rsidRPr="004B09EA">
              <w:rPr>
                <w:i/>
              </w:rPr>
              <w:t xml:space="preserve"> г. Ташкента, 2009 г.</w:t>
            </w:r>
          </w:p>
        </w:tc>
      </w:tr>
    </w:tbl>
    <w:p w:rsidR="009A5A38" w:rsidRDefault="008A7AC9" w:rsidP="009A5A38">
      <w:pPr>
        <w:spacing w:before="120"/>
        <w:jc w:val="both"/>
      </w:pPr>
      <w:r>
        <w:rPr>
          <w:b/>
        </w:rPr>
        <w:t>Как стимулировать</w:t>
      </w:r>
      <w:r w:rsidR="00F80C95" w:rsidRPr="00F80C95">
        <w:rPr>
          <w:b/>
        </w:rPr>
        <w:t xml:space="preserve"> рост занятости</w:t>
      </w:r>
      <w:r>
        <w:rPr>
          <w:b/>
        </w:rPr>
        <w:t>?</w:t>
      </w:r>
      <w:r w:rsidR="00F80C95">
        <w:t xml:space="preserve"> </w:t>
      </w:r>
      <w:r w:rsidR="009A5A38">
        <w:t>Д</w:t>
      </w:r>
      <w:r w:rsidR="009A5A38" w:rsidRPr="00CA3946">
        <w:t xml:space="preserve">ля Узбекистана проблемы роста населения </w:t>
      </w:r>
      <w:r w:rsidR="009A5A38">
        <w:t xml:space="preserve">и обеспечения занятости </w:t>
      </w:r>
      <w:r w:rsidR="009A5A38" w:rsidRPr="00CA3946">
        <w:t>остаются наиболее острыми в контексте обеспечения развития человека. По числу жителей страна является сам</w:t>
      </w:r>
      <w:r w:rsidR="009A5A38">
        <w:t>ой</w:t>
      </w:r>
      <w:r w:rsidR="009A5A38" w:rsidRPr="00CA3946">
        <w:t xml:space="preserve"> крупн</w:t>
      </w:r>
      <w:r w:rsidR="009A5A38">
        <w:t>ой</w:t>
      </w:r>
      <w:r w:rsidR="009A5A38" w:rsidRPr="00CA3946">
        <w:t xml:space="preserve"> среди стран Центральной Азии и обладает самыми значительными трудовыми ресурсами – около 44% рабочей силы в регионе.</w:t>
      </w:r>
      <w:r w:rsidR="009A5A38">
        <w:t xml:space="preserve"> Важность проблемы занятости для Узбекистана обусловлена тем, что:</w:t>
      </w:r>
    </w:p>
    <w:p w:rsidR="009A5A38" w:rsidRPr="00CA3946" w:rsidRDefault="009A5A38" w:rsidP="009A5A38">
      <w:pPr>
        <w:pStyle w:val="a6"/>
        <w:numPr>
          <w:ilvl w:val="0"/>
          <w:numId w:val="11"/>
        </w:numPr>
        <w:spacing w:before="120"/>
        <w:ind w:left="0" w:hanging="11"/>
        <w:jc w:val="both"/>
      </w:pPr>
      <w:r w:rsidRPr="00CA3946">
        <w:t xml:space="preserve">ежегодно на рынок труда выходит (с учетом естественной убыли населения, выхода на пенсию и миграции) около 250 тыс. человек. </w:t>
      </w:r>
      <w:r w:rsidR="00201362">
        <w:t>Е</w:t>
      </w:r>
      <w:r w:rsidRPr="00CA3946">
        <w:t>стественный прирост населения за последние 10 лет составил 3,17 млн. чел., из них 2,34 млн. чел. (73,7%) приходится на сельскую местность</w:t>
      </w:r>
      <w:r>
        <w:t xml:space="preserve">. Не случайно, </w:t>
      </w:r>
      <w:r w:rsidRPr="00CA3946">
        <w:t>удельный вес сельского населения Узбекистана за годы независимости возрос с 59,7% в 1991 г. до 63,7% в 2008 г.</w:t>
      </w:r>
      <w:r>
        <w:t>;</w:t>
      </w:r>
      <w:r w:rsidRPr="00CA3946">
        <w:t xml:space="preserve"> </w:t>
      </w:r>
    </w:p>
    <w:p w:rsidR="009A5A38" w:rsidRDefault="009A5A38" w:rsidP="009A5A38">
      <w:pPr>
        <w:pStyle w:val="a6"/>
        <w:numPr>
          <w:ilvl w:val="0"/>
          <w:numId w:val="11"/>
        </w:numPr>
        <w:spacing w:before="120"/>
        <w:ind w:left="0" w:hanging="11"/>
        <w:jc w:val="both"/>
      </w:pPr>
      <w:r>
        <w:t xml:space="preserve">имеют место </w:t>
      </w:r>
      <w:r w:rsidRPr="00CA3946">
        <w:t xml:space="preserve">высвобождение рабочей силы из </w:t>
      </w:r>
      <w:r>
        <w:t xml:space="preserve">отдельных </w:t>
      </w:r>
      <w:r w:rsidRPr="00CA3946">
        <w:t xml:space="preserve">отраслей </w:t>
      </w:r>
      <w:r>
        <w:t>экономики</w:t>
      </w:r>
      <w:r w:rsidRPr="00CA3946">
        <w:t xml:space="preserve"> и недостаточно быстрый рост числа новых рабочих мест. Основная часть работников высвобо</w:t>
      </w:r>
      <w:r w:rsidR="00E70883">
        <w:t>дилась</w:t>
      </w:r>
      <w:r w:rsidRPr="00CA3946">
        <w:t xml:space="preserve"> из аграрного сектора (доля которого в общей структуре занятости составляла 44,7% в </w:t>
      </w:r>
      <w:smartTag w:uri="urn:schemas-microsoft-com:office:smarttags" w:element="metricconverter">
        <w:smartTagPr>
          <w:attr w:name="ProductID" w:val="1993 г"/>
        </w:smartTagPr>
        <w:r w:rsidRPr="00CA3946">
          <w:t>1993 г</w:t>
        </w:r>
      </w:smartTag>
      <w:r w:rsidRPr="00CA3946">
        <w:t>. и 2</w:t>
      </w:r>
      <w:r>
        <w:t>6</w:t>
      </w:r>
      <w:r w:rsidRPr="005073D2">
        <w:t xml:space="preserve">,7% в 2009 г.) прежде всего в результате расформирования ширкатных хозяйств. </w:t>
      </w:r>
    </w:p>
    <w:tbl>
      <w:tblPr>
        <w:tblStyle w:val="af5"/>
        <w:tblW w:w="0" w:type="auto"/>
        <w:shd w:val="clear" w:color="auto" w:fill="D9D9D9" w:themeFill="background1" w:themeFillShade="D9"/>
        <w:tblLook w:val="04A0"/>
      </w:tblPr>
      <w:tblGrid>
        <w:gridCol w:w="9571"/>
      </w:tblGrid>
      <w:tr w:rsidR="005A088A" w:rsidTr="005A088A">
        <w:tc>
          <w:tcPr>
            <w:tcW w:w="9571" w:type="dxa"/>
            <w:shd w:val="clear" w:color="auto" w:fill="D9D9D9" w:themeFill="background1" w:themeFillShade="D9"/>
          </w:tcPr>
          <w:p w:rsidR="005A088A" w:rsidRPr="00E70883" w:rsidRDefault="005A088A" w:rsidP="005A088A">
            <w:pPr>
              <w:shd w:val="clear" w:color="auto" w:fill="BFBFBF" w:themeFill="background1" w:themeFillShade="BF"/>
              <w:spacing w:before="100" w:afterAutospacing="0"/>
              <w:rPr>
                <w:b/>
              </w:rPr>
            </w:pPr>
            <w:r w:rsidRPr="00E70883">
              <w:rPr>
                <w:b/>
              </w:rPr>
              <w:t>Примеры мер по увеличению занятости в Узбекистане</w:t>
            </w:r>
          </w:p>
          <w:p w:rsidR="005A088A" w:rsidRPr="00E70883" w:rsidRDefault="005A088A" w:rsidP="005A088A">
            <w:pPr>
              <w:shd w:val="clear" w:color="auto" w:fill="BFBFBF" w:themeFill="background1" w:themeFillShade="BF"/>
              <w:spacing w:before="100" w:afterAutospacing="0"/>
              <w:jc w:val="both"/>
            </w:pPr>
            <w:r w:rsidRPr="00E70883">
              <w:t>В последние годы в сфере обеспечения занятости населения широко практикуется вовлечение безработных в сферу надомного труда посредством:</w:t>
            </w:r>
          </w:p>
          <w:p w:rsidR="005A088A" w:rsidRPr="00E70883" w:rsidRDefault="005A088A" w:rsidP="005A088A">
            <w:pPr>
              <w:shd w:val="clear" w:color="auto" w:fill="BFBFBF" w:themeFill="background1" w:themeFillShade="BF"/>
              <w:spacing w:before="100" w:afterAutospacing="0"/>
              <w:jc w:val="both"/>
            </w:pPr>
            <w:r w:rsidRPr="00E70883">
              <w:t>- установления для предприятий, использующих труд надомников льгот по налогу на имущество (оборудование, инструменты, инвентарь), переданного в безвозмездное пользование надомников;</w:t>
            </w:r>
          </w:p>
          <w:p w:rsidR="005A088A" w:rsidRPr="00E70883" w:rsidRDefault="005A088A" w:rsidP="005A088A">
            <w:pPr>
              <w:shd w:val="clear" w:color="auto" w:fill="BFBFBF" w:themeFill="background1" w:themeFillShade="BF"/>
              <w:spacing w:before="100" w:afterAutospacing="0"/>
              <w:jc w:val="both"/>
            </w:pPr>
            <w:r w:rsidRPr="00E70883">
              <w:t>- закрепления системы мер, направленных на обеспечение государственной социальной защиты и охраны труда надомников.</w:t>
            </w:r>
          </w:p>
          <w:p w:rsidR="005A088A" w:rsidRPr="00E70883" w:rsidRDefault="005A088A" w:rsidP="005A088A">
            <w:pPr>
              <w:shd w:val="clear" w:color="auto" w:fill="BFBFBF" w:themeFill="background1" w:themeFillShade="BF"/>
              <w:spacing w:before="100" w:afterAutospacing="0"/>
              <w:jc w:val="both"/>
            </w:pPr>
            <w:r w:rsidRPr="00E70883">
              <w:t>Создаются дополнительные стимулы по созданию рабочих мест для субъектов предпринимательства. В частности для малого бизнеса введен единый налоговый платеж взамен уплачиваемых ранее налогов и обязательных платежей, упрощена статистическая отчетность, ограничено число проверок.</w:t>
            </w:r>
          </w:p>
          <w:p w:rsidR="005A088A" w:rsidRDefault="005A088A" w:rsidP="008A7AC9">
            <w:pPr>
              <w:pStyle w:val="a6"/>
              <w:spacing w:before="100" w:afterAutospacing="0"/>
              <w:ind w:left="0"/>
              <w:jc w:val="both"/>
            </w:pPr>
            <w:r w:rsidRPr="00E70883">
              <w:t xml:space="preserve">В результате за </w:t>
            </w:r>
            <w:r w:rsidR="008A7AC9" w:rsidRPr="00E70883">
              <w:t>2003-2008 гг.</w:t>
            </w:r>
            <w:r w:rsidRPr="00E70883">
              <w:t xml:space="preserve"> количество действующих субъектов малого бизнеса увеличилось в 1,9 раза и составило 397,8 тыс. в 2008 году, а удельный вес малого бизнеса в ВВП вырос до 48,2 %. В этой сфере </w:t>
            </w:r>
            <w:r w:rsidR="008A7AC9" w:rsidRPr="00E70883">
              <w:t>в 2008 г. было</w:t>
            </w:r>
            <w:r w:rsidRPr="00E70883">
              <w:t xml:space="preserve"> занято свыше 76 % общей численности занятого населения.</w:t>
            </w:r>
          </w:p>
        </w:tc>
      </w:tr>
    </w:tbl>
    <w:p w:rsidR="00FF6F8A" w:rsidRDefault="00FA69F1" w:rsidP="00274321">
      <w:pPr>
        <w:spacing w:before="120"/>
        <w:jc w:val="both"/>
      </w:pPr>
      <w:r>
        <w:t xml:space="preserve">Как занятость, так и экономическая активность </w:t>
      </w:r>
      <w:r w:rsidR="005C2933">
        <w:t xml:space="preserve">населения </w:t>
      </w:r>
      <w:r>
        <w:t xml:space="preserve">в целом непосредственно зависят от развитости частного предпринимательского сектора, его способности создавать и поддерживать рабочие места. </w:t>
      </w:r>
      <w:r w:rsidR="00FF6F8A">
        <w:t>Предпринимательский сектор может наращивать объемы</w:t>
      </w:r>
      <w:r w:rsidR="005A088A">
        <w:t>,</w:t>
      </w:r>
      <w:r w:rsidR="00FF6F8A">
        <w:t xml:space="preserve"> производства используя либо трудоемкие, либо капиталоемкие технологии. В первом случае рост производства будет сопровождаться</w:t>
      </w:r>
      <w:r w:rsidR="005A088A">
        <w:t>,</w:t>
      </w:r>
      <w:r w:rsidR="00FF6F8A">
        <w:t xml:space="preserve"> прежде всего</w:t>
      </w:r>
      <w:r w:rsidR="005A088A">
        <w:t>,</w:t>
      </w:r>
      <w:r w:rsidR="00FF6F8A">
        <w:t xml:space="preserve"> ростом занятости, во втором – ростом инвестиций в основной капитал. </w:t>
      </w:r>
    </w:p>
    <w:p w:rsidR="005A088A" w:rsidRDefault="005A088A" w:rsidP="005A088A">
      <w:pPr>
        <w:pStyle w:val="af6"/>
        <w:spacing w:before="120"/>
        <w:jc w:val="both"/>
        <w:rPr>
          <w:szCs w:val="24"/>
        </w:rPr>
      </w:pPr>
      <w:r>
        <w:rPr>
          <w:szCs w:val="24"/>
        </w:rPr>
        <w:t xml:space="preserve">В </w:t>
      </w:r>
      <w:r w:rsidR="00E70883">
        <w:rPr>
          <w:szCs w:val="24"/>
          <w:highlight w:val="yellow"/>
        </w:rPr>
        <w:t>р</w:t>
      </w:r>
      <w:r w:rsidRPr="00FF6F8A">
        <w:rPr>
          <w:szCs w:val="24"/>
          <w:highlight w:val="yellow"/>
        </w:rPr>
        <w:t>азделе 1.2</w:t>
      </w:r>
      <w:r>
        <w:rPr>
          <w:szCs w:val="24"/>
        </w:rPr>
        <w:t xml:space="preserve"> мы разбили регионы на две группы:</w:t>
      </w:r>
      <w:r w:rsidRPr="003A576B">
        <w:rPr>
          <w:szCs w:val="24"/>
        </w:rPr>
        <w:t xml:space="preserve"> со среднегодовыми темпами экономического роста </w:t>
      </w:r>
      <w:r>
        <w:rPr>
          <w:szCs w:val="24"/>
        </w:rPr>
        <w:t xml:space="preserve">за 1999-2008 гг. </w:t>
      </w:r>
      <w:r w:rsidRPr="003A576B">
        <w:rPr>
          <w:szCs w:val="24"/>
        </w:rPr>
        <w:t xml:space="preserve">не менее 3% в </w:t>
      </w:r>
      <w:r w:rsidRPr="00DE2673">
        <w:rPr>
          <w:szCs w:val="24"/>
        </w:rPr>
        <w:t xml:space="preserve">год </w:t>
      </w:r>
      <w:r>
        <w:rPr>
          <w:szCs w:val="24"/>
        </w:rPr>
        <w:t>и</w:t>
      </w:r>
      <w:r w:rsidRPr="00DE2673">
        <w:rPr>
          <w:szCs w:val="24"/>
        </w:rPr>
        <w:t xml:space="preserve"> менее 3% в год</w:t>
      </w:r>
      <w:r w:rsidRPr="00DE2673">
        <w:rPr>
          <w:color w:val="000000"/>
          <w:szCs w:val="24"/>
        </w:rPr>
        <w:t>.</w:t>
      </w:r>
      <w:r>
        <w:rPr>
          <w:color w:val="000000"/>
          <w:szCs w:val="24"/>
        </w:rPr>
        <w:t xml:space="preserve"> </w:t>
      </w:r>
      <w:r w:rsidRPr="00FF6F8A">
        <w:rPr>
          <w:szCs w:val="24"/>
        </w:rPr>
        <w:t>Прирост занятых</w:t>
      </w:r>
      <w:r>
        <w:rPr>
          <w:szCs w:val="24"/>
        </w:rPr>
        <w:t xml:space="preserve"> (в процентном выражении) за тот же период времени (1997-2008 гг.) в этих двух группах регионов был примерно одинаков (см. </w:t>
      </w:r>
      <w:r w:rsidRPr="00941761">
        <w:rPr>
          <w:szCs w:val="24"/>
          <w:highlight w:val="yellow"/>
        </w:rPr>
        <w:t xml:space="preserve">Рисунок </w:t>
      </w:r>
      <w:r>
        <w:rPr>
          <w:szCs w:val="24"/>
          <w:highlight w:val="yellow"/>
        </w:rPr>
        <w:t>2.</w:t>
      </w:r>
      <w:r w:rsidRPr="00CD0052">
        <w:rPr>
          <w:szCs w:val="24"/>
          <w:highlight w:val="yellow"/>
        </w:rPr>
        <w:t>4</w:t>
      </w:r>
      <w:r>
        <w:rPr>
          <w:szCs w:val="24"/>
        </w:rPr>
        <w:t xml:space="preserve">). Зато по увеличению объемов </w:t>
      </w:r>
      <w:r w:rsidRPr="00D438CC">
        <w:rPr>
          <w:szCs w:val="24"/>
        </w:rPr>
        <w:lastRenderedPageBreak/>
        <w:t xml:space="preserve">инвестиций </w:t>
      </w:r>
      <w:r>
        <w:rPr>
          <w:szCs w:val="24"/>
        </w:rPr>
        <w:t xml:space="preserve">имеются существенные различия: объем </w:t>
      </w:r>
      <w:r w:rsidRPr="00942AE1">
        <w:rPr>
          <w:b/>
          <w:i/>
          <w:szCs w:val="24"/>
        </w:rPr>
        <w:t>инвестиций в основной капитал на душу населения</w:t>
      </w:r>
      <w:r>
        <w:rPr>
          <w:szCs w:val="24"/>
        </w:rPr>
        <w:t xml:space="preserve"> в регионах с высокими темпами экономического роста превышал данный показатель регионов с низкими темпами экономического роста в 1,9 раза (см. </w:t>
      </w:r>
      <w:r w:rsidRPr="00E84A31">
        <w:rPr>
          <w:szCs w:val="24"/>
          <w:highlight w:val="yellow"/>
        </w:rPr>
        <w:t xml:space="preserve">Рисунок </w:t>
      </w:r>
      <w:r w:rsidR="00750CC0">
        <w:rPr>
          <w:szCs w:val="24"/>
          <w:highlight w:val="yellow"/>
        </w:rPr>
        <w:t>2.</w:t>
      </w:r>
      <w:r>
        <w:rPr>
          <w:szCs w:val="24"/>
          <w:highlight w:val="yellow"/>
        </w:rPr>
        <w:t>5</w:t>
      </w:r>
      <w:r>
        <w:rPr>
          <w:szCs w:val="24"/>
        </w:rPr>
        <w:t xml:space="preserve">). Это говорит о том, что основными </w:t>
      </w:r>
      <w:r w:rsidRPr="00BB477A">
        <w:rPr>
          <w:b/>
          <w:i/>
          <w:szCs w:val="24"/>
        </w:rPr>
        <w:t xml:space="preserve">источниками экономического роста </w:t>
      </w:r>
      <w:r>
        <w:rPr>
          <w:b/>
          <w:i/>
          <w:szCs w:val="24"/>
        </w:rPr>
        <w:t>регионов</w:t>
      </w:r>
      <w:r w:rsidRPr="00BB477A">
        <w:rPr>
          <w:b/>
          <w:i/>
          <w:szCs w:val="24"/>
        </w:rPr>
        <w:t xml:space="preserve"> Узбекистан</w:t>
      </w:r>
      <w:r>
        <w:rPr>
          <w:b/>
          <w:i/>
          <w:szCs w:val="24"/>
        </w:rPr>
        <w:t>а</w:t>
      </w:r>
      <w:r w:rsidRPr="00BB477A">
        <w:rPr>
          <w:b/>
          <w:i/>
          <w:szCs w:val="24"/>
        </w:rPr>
        <w:t xml:space="preserve"> являются не трудоемкие, а капиталоемкие технологии и производства</w:t>
      </w:r>
      <w:r>
        <w:rPr>
          <w:szCs w:val="24"/>
        </w:rPr>
        <w:t>. Что не совсем логично, учитывая остроту проблемы трудоизбыточности.</w:t>
      </w:r>
    </w:p>
    <w:p w:rsidR="00FF6F8A" w:rsidRPr="00BC616F" w:rsidRDefault="00FF6F8A" w:rsidP="00FF6F8A">
      <w:pPr>
        <w:pStyle w:val="af6"/>
        <w:spacing w:before="120"/>
        <w:jc w:val="both"/>
        <w:rPr>
          <w:b/>
          <w:szCs w:val="24"/>
        </w:rPr>
      </w:pPr>
      <w:r w:rsidRPr="00BC616F">
        <w:rPr>
          <w:b/>
          <w:szCs w:val="24"/>
        </w:rPr>
        <w:t xml:space="preserve">Рисунок </w:t>
      </w:r>
      <w:r w:rsidR="005A088A">
        <w:rPr>
          <w:b/>
          <w:szCs w:val="24"/>
        </w:rPr>
        <w:t>2.</w:t>
      </w:r>
      <w:r w:rsidR="00CD0052">
        <w:rPr>
          <w:b/>
          <w:szCs w:val="24"/>
        </w:rPr>
        <w:t>4</w:t>
      </w:r>
      <w:r w:rsidRPr="00BC616F">
        <w:rPr>
          <w:b/>
          <w:szCs w:val="24"/>
        </w:rPr>
        <w:t xml:space="preserve">. </w:t>
      </w:r>
      <w:r>
        <w:rPr>
          <w:b/>
          <w:szCs w:val="24"/>
        </w:rPr>
        <w:t>П</w:t>
      </w:r>
      <w:r w:rsidRPr="00941761">
        <w:rPr>
          <w:b/>
          <w:szCs w:val="24"/>
        </w:rPr>
        <w:t>рирост занят</w:t>
      </w:r>
      <w:r>
        <w:rPr>
          <w:b/>
          <w:szCs w:val="24"/>
        </w:rPr>
        <w:t>ых</w:t>
      </w:r>
      <w:r w:rsidRPr="00941761">
        <w:rPr>
          <w:b/>
          <w:szCs w:val="24"/>
        </w:rPr>
        <w:t xml:space="preserve"> за 1997-2008 гг.</w:t>
      </w:r>
      <w:r>
        <w:rPr>
          <w:b/>
          <w:szCs w:val="24"/>
        </w:rPr>
        <w:t>, в %.</w:t>
      </w:r>
    </w:p>
    <w:p w:rsidR="00FF6F8A" w:rsidRDefault="0022025F" w:rsidP="00FF6F8A">
      <w:pPr>
        <w:spacing w:before="120"/>
        <w:jc w:val="center"/>
      </w:pPr>
      <w:r w:rsidRPr="0022025F">
        <w:rPr>
          <w:noProof/>
        </w:rPr>
        <w:drawing>
          <wp:inline distT="0" distB="0" distL="0" distR="0">
            <wp:extent cx="4572000" cy="2743200"/>
            <wp:effectExtent l="19050" t="0" r="19050" b="0"/>
            <wp:docPr id="5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6F8A" w:rsidRDefault="00FF6F8A" w:rsidP="00FF6F8A">
      <w:pPr>
        <w:pStyle w:val="af6"/>
        <w:spacing w:before="120"/>
        <w:jc w:val="both"/>
        <w:rPr>
          <w:szCs w:val="24"/>
        </w:rPr>
      </w:pPr>
      <w:r w:rsidRPr="00BC616F">
        <w:rPr>
          <w:b/>
          <w:szCs w:val="24"/>
        </w:rPr>
        <w:t xml:space="preserve">Рисунок </w:t>
      </w:r>
      <w:r w:rsidR="00750CC0">
        <w:rPr>
          <w:b/>
          <w:szCs w:val="24"/>
        </w:rPr>
        <w:t>2.</w:t>
      </w:r>
      <w:r w:rsidR="00CD0052">
        <w:rPr>
          <w:b/>
          <w:szCs w:val="24"/>
        </w:rPr>
        <w:t>5</w:t>
      </w:r>
      <w:r w:rsidRPr="00BC616F">
        <w:rPr>
          <w:b/>
          <w:szCs w:val="24"/>
        </w:rPr>
        <w:t xml:space="preserve">. </w:t>
      </w:r>
      <w:r>
        <w:rPr>
          <w:b/>
          <w:szCs w:val="24"/>
        </w:rPr>
        <w:t>Инвестиции в основной капитал на душу населения, средние значения за 1999-2007</w:t>
      </w:r>
      <w:r w:rsidRPr="00941761">
        <w:rPr>
          <w:b/>
          <w:szCs w:val="24"/>
        </w:rPr>
        <w:t xml:space="preserve"> гг.</w:t>
      </w:r>
      <w:r>
        <w:rPr>
          <w:b/>
          <w:szCs w:val="24"/>
        </w:rPr>
        <w:t>, в ценах 1999 г., тыс. сум.</w:t>
      </w:r>
    </w:p>
    <w:p w:rsidR="00FF6F8A" w:rsidRDefault="006E6CBA" w:rsidP="00FF6F8A">
      <w:pPr>
        <w:spacing w:before="120"/>
        <w:jc w:val="center"/>
      </w:pPr>
      <w:r w:rsidRPr="006E6CBA">
        <w:rPr>
          <w:noProof/>
        </w:rPr>
        <w:drawing>
          <wp:inline distT="0" distB="0" distL="0" distR="0">
            <wp:extent cx="4572000" cy="2743200"/>
            <wp:effectExtent l="19050" t="0" r="19050"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362" w:rsidRDefault="00201362" w:rsidP="00201362">
      <w:pPr>
        <w:spacing w:before="120"/>
        <w:jc w:val="both"/>
      </w:pPr>
      <w:r>
        <w:t xml:space="preserve">Такое положение дел можно объяснить </w:t>
      </w:r>
      <w:r w:rsidR="00750CC0">
        <w:rPr>
          <w:i/>
        </w:rPr>
        <w:t>относительно</w:t>
      </w:r>
      <w:r w:rsidRPr="003B65A8">
        <w:rPr>
          <w:i/>
        </w:rPr>
        <w:t xml:space="preserve"> высокими налогами на труд</w:t>
      </w:r>
      <w:r>
        <w:t xml:space="preserve"> (прежде всего подоходного налога и единого социального платежа), делающими порой не выгодным наем по официальному контракту, </w:t>
      </w:r>
      <w:r w:rsidRPr="003B65A8">
        <w:rPr>
          <w:i/>
        </w:rPr>
        <w:t>наличием существенных (налоговых и неналоговых) льгот по приобретению и обслуживанию физического капитала</w:t>
      </w:r>
      <w:r>
        <w:t xml:space="preserve">, а также </w:t>
      </w:r>
      <w:r w:rsidRPr="003B65A8">
        <w:rPr>
          <w:i/>
        </w:rPr>
        <w:t>предоставлением льгот предприятиям капиталоемких отраслей экономики</w:t>
      </w:r>
      <w:r>
        <w:t>.</w:t>
      </w:r>
    </w:p>
    <w:tbl>
      <w:tblPr>
        <w:tblStyle w:val="af5"/>
        <w:tblW w:w="0" w:type="auto"/>
        <w:shd w:val="clear" w:color="auto" w:fill="D9D9D9" w:themeFill="background1" w:themeFillShade="D9"/>
        <w:tblLook w:val="04A0"/>
      </w:tblPr>
      <w:tblGrid>
        <w:gridCol w:w="9571"/>
      </w:tblGrid>
      <w:tr w:rsidR="00750CC0" w:rsidTr="00750CC0">
        <w:tc>
          <w:tcPr>
            <w:tcW w:w="9571" w:type="dxa"/>
            <w:shd w:val="clear" w:color="auto" w:fill="D9D9D9" w:themeFill="background1" w:themeFillShade="D9"/>
          </w:tcPr>
          <w:p w:rsidR="00750CC0" w:rsidRPr="00750CC0" w:rsidRDefault="00750CC0" w:rsidP="00750CC0">
            <w:pPr>
              <w:autoSpaceDE w:val="0"/>
              <w:autoSpaceDN w:val="0"/>
              <w:adjustRightInd w:val="0"/>
              <w:spacing w:before="100" w:afterAutospacing="0"/>
              <w:jc w:val="both"/>
              <w:rPr>
                <w:b/>
                <w:u w:val="single"/>
              </w:rPr>
            </w:pPr>
            <w:r w:rsidRPr="00750CC0">
              <w:t xml:space="preserve">«Налоговое бремя на предприятия </w:t>
            </w:r>
            <w:r>
              <w:t>слишком велико</w:t>
            </w:r>
            <w:r w:rsidRPr="00750CC0">
              <w:t xml:space="preserve">, в результате они ведут двойную бухгалтерию. </w:t>
            </w:r>
            <w:r>
              <w:t>Около</w:t>
            </w:r>
            <w:r w:rsidRPr="00750CC0">
              <w:t xml:space="preserve"> 40-60% оборота находится «в тени». </w:t>
            </w:r>
          </w:p>
          <w:p w:rsidR="00750CC0" w:rsidRDefault="00750CC0" w:rsidP="00750CC0">
            <w:pPr>
              <w:spacing w:before="100" w:afterAutospacing="0"/>
              <w:jc w:val="right"/>
            </w:pPr>
            <w:r w:rsidRPr="00750CC0">
              <w:rPr>
                <w:i/>
              </w:rPr>
              <w:t>Из интервью</w:t>
            </w:r>
            <w:r>
              <w:rPr>
                <w:i/>
              </w:rPr>
              <w:t xml:space="preserve"> с</w:t>
            </w:r>
            <w:r w:rsidRPr="00750CC0">
              <w:rPr>
                <w:i/>
              </w:rPr>
              <w:t xml:space="preserve"> представител</w:t>
            </w:r>
            <w:r>
              <w:rPr>
                <w:i/>
              </w:rPr>
              <w:t>ями</w:t>
            </w:r>
            <w:r w:rsidRPr="00750CC0">
              <w:rPr>
                <w:i/>
              </w:rPr>
              <w:t xml:space="preserve"> Хорезмской области, 2009 г.</w:t>
            </w:r>
          </w:p>
        </w:tc>
      </w:tr>
    </w:tbl>
    <w:p w:rsidR="007C5D70" w:rsidRDefault="008064FB" w:rsidP="00274321">
      <w:pPr>
        <w:spacing w:before="120"/>
        <w:jc w:val="both"/>
      </w:pPr>
      <w:r>
        <w:lastRenderedPageBreak/>
        <w:t xml:space="preserve">Эксперты и предприниматели считают, </w:t>
      </w:r>
      <w:r w:rsidR="00830A3D">
        <w:t>а ранее проведенные исследования это подтверждают</w:t>
      </w:r>
      <w:r w:rsidR="00830A3D">
        <w:rPr>
          <w:rStyle w:val="a5"/>
        </w:rPr>
        <w:footnoteReference w:id="5"/>
      </w:r>
      <w:r w:rsidR="00830A3D">
        <w:t xml:space="preserve">, </w:t>
      </w:r>
      <w:r>
        <w:t>что о</w:t>
      </w:r>
      <w:r w:rsidR="00B21326">
        <w:t>дним из важнейших</w:t>
      </w:r>
      <w:r>
        <w:t xml:space="preserve"> факторо</w:t>
      </w:r>
      <w:r w:rsidR="00B21326">
        <w:t>в</w:t>
      </w:r>
      <w:r>
        <w:t xml:space="preserve">, сдерживающим рост занятости </w:t>
      </w:r>
      <w:r w:rsidR="0010253F">
        <w:t xml:space="preserve">(а также развитие </w:t>
      </w:r>
      <w:r>
        <w:t>предпринимательства</w:t>
      </w:r>
      <w:r w:rsidR="0010253F">
        <w:t>)</w:t>
      </w:r>
      <w:r>
        <w:t xml:space="preserve"> в Узбекистане</w:t>
      </w:r>
      <w:r w:rsidR="00B21326">
        <w:t>,</w:t>
      </w:r>
      <w:r>
        <w:t xml:space="preserve"> является </w:t>
      </w:r>
      <w:r w:rsidRPr="00274321">
        <w:rPr>
          <w:b/>
          <w:i/>
        </w:rPr>
        <w:t>относительно высокое налоговое бремя на экономику</w:t>
      </w:r>
      <w:r>
        <w:t xml:space="preserve">. </w:t>
      </w:r>
    </w:p>
    <w:p w:rsidR="003B65A8" w:rsidRDefault="007C5D70" w:rsidP="007C5D70">
      <w:pPr>
        <w:spacing w:before="120"/>
        <w:jc w:val="both"/>
      </w:pPr>
      <w:r w:rsidRPr="007C5D70">
        <w:t xml:space="preserve">Доля консолидированного (то есть, учитывающего доходы и расходы внебюджетных фондов) бюджета в ВВП Узбекистана колеблется на уровне 30%. Данная цифра существенно выше уровня налоговой нагрузки в успешно развивающихся странах с сопоставимым уровнем дохода на душу населения. </w:t>
      </w:r>
      <w:r w:rsidRPr="007C5D70">
        <w:rPr>
          <w:color w:val="000000"/>
        </w:rPr>
        <w:t>Так в</w:t>
      </w:r>
      <w:r w:rsidRPr="007C5D70">
        <w:t xml:space="preserve"> Китае в годы, когда страна демонстрировала феноменальные темпы экономического роста (1979-1996), налоговое бремя было снижено с 36 до 13%. И лишь затем (после 18 лет сверхрекордных темпов экономического развития) было увеличено до 20%</w:t>
      </w:r>
      <w:r w:rsidR="003B65A8" w:rsidRPr="00233761">
        <w:rPr>
          <w:rStyle w:val="a5"/>
        </w:rPr>
        <w:footnoteReference w:id="6"/>
      </w:r>
      <w:r w:rsidRPr="007C5D70">
        <w:t xml:space="preserve">. </w:t>
      </w:r>
    </w:p>
    <w:p w:rsidR="00983D8F" w:rsidRDefault="00983D8F" w:rsidP="00983D8F">
      <w:pPr>
        <w:spacing w:before="120"/>
        <w:jc w:val="both"/>
      </w:pPr>
      <w:r w:rsidRPr="007C5D70">
        <w:t xml:space="preserve">При этом надо учитывать, что в силу крайне неравномерного распределения налогового бремени между секторами, отраслями и даже отдельными предприятиями, налоговая нагрузка на многие предприятия может быть на много выше среднего уровня. </w:t>
      </w:r>
      <w:r w:rsidRPr="00233761">
        <w:t>Так при общем уровне налогового бремени в 36% в 2000 году налоговая нагрузка (доля налогов в добавленной стоимости) предприятий пищевой промышленности в среднем составила 66%, легкой промышленности – 72%</w:t>
      </w:r>
      <w:r w:rsidRPr="00233761">
        <w:rPr>
          <w:rStyle w:val="a5"/>
        </w:rPr>
        <w:footnoteReference w:id="7"/>
      </w:r>
      <w:r w:rsidRPr="00233761">
        <w:t>.</w:t>
      </w:r>
      <w:r>
        <w:t xml:space="preserve"> </w:t>
      </w:r>
      <w:r w:rsidRPr="00233761">
        <w:t>Расчеты группы моделирования проекта ПРООН по реформированию налоговой системы подтвердили сохранение (правда в меньших масштабах) неравномерной структуры распред</w:t>
      </w:r>
      <w:r>
        <w:t xml:space="preserve">еления налоговой нагрузки к 2005 году (см. </w:t>
      </w:r>
      <w:r w:rsidRPr="00C22DDB">
        <w:rPr>
          <w:highlight w:val="yellow"/>
        </w:rPr>
        <w:t xml:space="preserve">Таблицу </w:t>
      </w:r>
      <w:r>
        <w:rPr>
          <w:highlight w:val="yellow"/>
        </w:rPr>
        <w:t>2.</w:t>
      </w:r>
      <w:r w:rsidRPr="00C22DDB">
        <w:rPr>
          <w:highlight w:val="yellow"/>
        </w:rPr>
        <w:t>2</w:t>
      </w:r>
      <w:r w:rsidRPr="00233761">
        <w:t>).</w:t>
      </w:r>
    </w:p>
    <w:p w:rsidR="00C22DDB" w:rsidRPr="00C22DDB" w:rsidRDefault="00C22DDB" w:rsidP="00C22DDB">
      <w:pPr>
        <w:spacing w:before="120"/>
        <w:jc w:val="both"/>
        <w:rPr>
          <w:b/>
        </w:rPr>
      </w:pPr>
      <w:r w:rsidRPr="00C22DDB">
        <w:rPr>
          <w:b/>
        </w:rPr>
        <w:t xml:space="preserve">Таблица </w:t>
      </w:r>
      <w:r w:rsidR="00750CC0">
        <w:rPr>
          <w:b/>
        </w:rPr>
        <w:t>2.</w:t>
      </w:r>
      <w:r w:rsidRPr="00C22DDB">
        <w:rPr>
          <w:b/>
        </w:rPr>
        <w:t>2. Налоговое бремя (отношение налогов к добавленной стоимости в рыночных ценах) по некоторым отраслям экономики, в % (2005 год)</w:t>
      </w:r>
      <w:r>
        <w:rPr>
          <w:b/>
        </w:rPr>
        <w:t>.</w:t>
      </w:r>
    </w:p>
    <w:tbl>
      <w:tblPr>
        <w:tblStyle w:val="af5"/>
        <w:tblW w:w="5148" w:type="dxa"/>
        <w:tblInd w:w="648" w:type="dxa"/>
        <w:tblLayout w:type="fixed"/>
        <w:tblLook w:val="01E0"/>
      </w:tblPr>
      <w:tblGrid>
        <w:gridCol w:w="4428"/>
        <w:gridCol w:w="720"/>
      </w:tblGrid>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Электроэнергетика</w:t>
            </w:r>
          </w:p>
        </w:tc>
        <w:tc>
          <w:tcPr>
            <w:tcW w:w="720" w:type="dxa"/>
          </w:tcPr>
          <w:p w:rsidR="00C22DDB" w:rsidRPr="00233761" w:rsidRDefault="00C22DDB" w:rsidP="007376F2">
            <w:pPr>
              <w:shd w:val="clear" w:color="auto" w:fill="FFFFFF"/>
              <w:jc w:val="right"/>
            </w:pPr>
            <w:r w:rsidRPr="00233761">
              <w:rPr>
                <w:color w:val="000000"/>
                <w:spacing w:val="-5"/>
              </w:rPr>
              <w:t>34,7</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Топливная промышленность</w:t>
            </w:r>
          </w:p>
        </w:tc>
        <w:tc>
          <w:tcPr>
            <w:tcW w:w="720" w:type="dxa"/>
          </w:tcPr>
          <w:p w:rsidR="00C22DDB" w:rsidRPr="00233761" w:rsidRDefault="00C22DDB" w:rsidP="007376F2">
            <w:pPr>
              <w:shd w:val="clear" w:color="auto" w:fill="FFFFFF"/>
              <w:jc w:val="right"/>
            </w:pPr>
            <w:r w:rsidRPr="00233761">
              <w:rPr>
                <w:color w:val="000000"/>
                <w:spacing w:val="-7"/>
              </w:rPr>
              <w:t>28,8</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Черная и цветная металлургия</w:t>
            </w:r>
          </w:p>
        </w:tc>
        <w:tc>
          <w:tcPr>
            <w:tcW w:w="720" w:type="dxa"/>
          </w:tcPr>
          <w:p w:rsidR="00C22DDB" w:rsidRPr="00233761" w:rsidRDefault="00C22DDB" w:rsidP="007376F2">
            <w:pPr>
              <w:shd w:val="clear" w:color="auto" w:fill="FFFFFF"/>
              <w:jc w:val="right"/>
            </w:pPr>
            <w:r w:rsidRPr="00233761">
              <w:rPr>
                <w:color w:val="000000"/>
                <w:spacing w:val="-5"/>
              </w:rPr>
              <w:t>41,9</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Химическая промышленность</w:t>
            </w:r>
          </w:p>
        </w:tc>
        <w:tc>
          <w:tcPr>
            <w:tcW w:w="720" w:type="dxa"/>
          </w:tcPr>
          <w:p w:rsidR="00C22DDB" w:rsidRPr="00233761" w:rsidRDefault="00C22DDB" w:rsidP="007376F2">
            <w:pPr>
              <w:shd w:val="clear" w:color="auto" w:fill="FFFFFF"/>
              <w:jc w:val="right"/>
            </w:pPr>
            <w:r w:rsidRPr="00233761">
              <w:rPr>
                <w:color w:val="000000"/>
                <w:spacing w:val="-6"/>
              </w:rPr>
              <w:t>42,2</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Машиностроение и металлообработка</w:t>
            </w:r>
          </w:p>
        </w:tc>
        <w:tc>
          <w:tcPr>
            <w:tcW w:w="720" w:type="dxa"/>
          </w:tcPr>
          <w:p w:rsidR="00C22DDB" w:rsidRPr="00233761" w:rsidRDefault="00C22DDB" w:rsidP="007376F2">
            <w:pPr>
              <w:shd w:val="clear" w:color="auto" w:fill="FFFFFF"/>
              <w:jc w:val="right"/>
            </w:pPr>
            <w:r w:rsidRPr="00233761">
              <w:rPr>
                <w:color w:val="000000"/>
                <w:spacing w:val="-6"/>
              </w:rPr>
              <w:t>21,5</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Промышленность строй материалов</w:t>
            </w:r>
          </w:p>
        </w:tc>
        <w:tc>
          <w:tcPr>
            <w:tcW w:w="720" w:type="dxa"/>
          </w:tcPr>
          <w:p w:rsidR="00C22DDB" w:rsidRPr="00233761" w:rsidRDefault="00C22DDB" w:rsidP="007376F2">
            <w:pPr>
              <w:shd w:val="clear" w:color="auto" w:fill="FFFFFF"/>
              <w:jc w:val="right"/>
            </w:pPr>
            <w:r w:rsidRPr="00233761">
              <w:rPr>
                <w:color w:val="000000"/>
                <w:spacing w:val="-7"/>
              </w:rPr>
              <w:t>22,9</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Легкая и пищевая промышленность</w:t>
            </w:r>
          </w:p>
        </w:tc>
        <w:tc>
          <w:tcPr>
            <w:tcW w:w="720" w:type="dxa"/>
          </w:tcPr>
          <w:p w:rsidR="00C22DDB" w:rsidRPr="00233761" w:rsidRDefault="00C22DDB" w:rsidP="007376F2">
            <w:pPr>
              <w:shd w:val="clear" w:color="auto" w:fill="FFFFFF"/>
              <w:jc w:val="right"/>
            </w:pPr>
            <w:r w:rsidRPr="00233761">
              <w:rPr>
                <w:color w:val="000000"/>
                <w:spacing w:val="-8"/>
              </w:rPr>
              <w:t>33,8</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Сельское хозяйство</w:t>
            </w:r>
          </w:p>
        </w:tc>
        <w:tc>
          <w:tcPr>
            <w:tcW w:w="720" w:type="dxa"/>
          </w:tcPr>
          <w:p w:rsidR="00C22DDB" w:rsidRPr="00233761" w:rsidRDefault="00C22DDB" w:rsidP="007376F2">
            <w:pPr>
              <w:shd w:val="clear" w:color="auto" w:fill="FFFFFF"/>
              <w:jc w:val="right"/>
            </w:pPr>
            <w:r w:rsidRPr="00233761">
              <w:rPr>
                <w:color w:val="000000"/>
              </w:rPr>
              <w:t>8,7</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Транспорт и связь</w:t>
            </w:r>
          </w:p>
        </w:tc>
        <w:tc>
          <w:tcPr>
            <w:tcW w:w="720" w:type="dxa"/>
          </w:tcPr>
          <w:p w:rsidR="00C22DDB" w:rsidRPr="00233761" w:rsidRDefault="00C22DDB" w:rsidP="007376F2">
            <w:pPr>
              <w:shd w:val="clear" w:color="auto" w:fill="FFFFFF"/>
              <w:jc w:val="right"/>
            </w:pPr>
            <w:r w:rsidRPr="00233761">
              <w:rPr>
                <w:color w:val="000000"/>
                <w:spacing w:val="-7"/>
              </w:rPr>
              <w:t>57,9</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color w:val="000000"/>
                <w:spacing w:val="-4"/>
              </w:rPr>
            </w:pPr>
            <w:r w:rsidRPr="00233761">
              <w:rPr>
                <w:color w:val="000000"/>
                <w:spacing w:val="-4"/>
              </w:rPr>
              <w:t>Строительство</w:t>
            </w:r>
          </w:p>
        </w:tc>
        <w:tc>
          <w:tcPr>
            <w:tcW w:w="720" w:type="dxa"/>
          </w:tcPr>
          <w:p w:rsidR="00C22DDB" w:rsidRPr="00233761" w:rsidRDefault="00C22DDB" w:rsidP="007376F2">
            <w:pPr>
              <w:shd w:val="clear" w:color="auto" w:fill="FFFFFF"/>
              <w:jc w:val="right"/>
            </w:pPr>
            <w:r w:rsidRPr="00233761">
              <w:rPr>
                <w:color w:val="000000"/>
                <w:spacing w:val="-7"/>
              </w:rPr>
              <w:t>34,2</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b/>
                <w:color w:val="000000"/>
                <w:spacing w:val="-4"/>
              </w:rPr>
            </w:pPr>
            <w:r w:rsidRPr="00233761">
              <w:rPr>
                <w:b/>
                <w:color w:val="000000"/>
                <w:spacing w:val="-4"/>
              </w:rPr>
              <w:t>В целом по экономике</w:t>
            </w:r>
          </w:p>
        </w:tc>
        <w:tc>
          <w:tcPr>
            <w:tcW w:w="720" w:type="dxa"/>
          </w:tcPr>
          <w:p w:rsidR="00C22DDB" w:rsidRPr="00233761" w:rsidRDefault="00C22DDB" w:rsidP="007376F2">
            <w:pPr>
              <w:shd w:val="clear" w:color="auto" w:fill="FFFFFF"/>
              <w:jc w:val="right"/>
              <w:rPr>
                <w:b/>
                <w:color w:val="000000"/>
                <w:spacing w:val="-6"/>
              </w:rPr>
            </w:pPr>
            <w:r w:rsidRPr="00233761">
              <w:rPr>
                <w:b/>
                <w:color w:val="000000"/>
                <w:spacing w:val="-6"/>
              </w:rPr>
              <w:t>30,1</w:t>
            </w:r>
          </w:p>
        </w:tc>
      </w:tr>
      <w:tr w:rsidR="00C22DDB" w:rsidRPr="00233761" w:rsidTr="007376F2">
        <w:tc>
          <w:tcPr>
            <w:tcW w:w="4428" w:type="dxa"/>
          </w:tcPr>
          <w:p w:rsidR="00C22DDB" w:rsidRPr="00233761" w:rsidRDefault="00C22DDB" w:rsidP="007376F2">
            <w:pPr>
              <w:shd w:val="clear" w:color="auto" w:fill="FFFFFF"/>
              <w:spacing w:before="7" w:line="314" w:lineRule="exact"/>
              <w:jc w:val="left"/>
              <w:rPr>
                <w:i/>
                <w:color w:val="000000"/>
                <w:spacing w:val="-7"/>
              </w:rPr>
            </w:pPr>
            <w:r w:rsidRPr="00233761">
              <w:rPr>
                <w:i/>
                <w:color w:val="000000"/>
                <w:spacing w:val="-4"/>
              </w:rPr>
              <w:t>Налоговое бремя без сельского хозяйства</w:t>
            </w:r>
          </w:p>
        </w:tc>
        <w:tc>
          <w:tcPr>
            <w:tcW w:w="720" w:type="dxa"/>
          </w:tcPr>
          <w:p w:rsidR="00C22DDB" w:rsidRPr="00233761" w:rsidRDefault="00C22DDB" w:rsidP="007376F2">
            <w:pPr>
              <w:shd w:val="clear" w:color="auto" w:fill="FFFFFF"/>
              <w:spacing w:before="31"/>
              <w:jc w:val="right"/>
              <w:rPr>
                <w:i/>
                <w:color w:val="000000"/>
                <w:spacing w:val="-7"/>
              </w:rPr>
            </w:pPr>
            <w:r w:rsidRPr="00233761">
              <w:rPr>
                <w:i/>
                <w:color w:val="000000"/>
                <w:spacing w:val="-7"/>
              </w:rPr>
              <w:t>35,7</w:t>
            </w:r>
          </w:p>
        </w:tc>
      </w:tr>
    </w:tbl>
    <w:p w:rsidR="00192748" w:rsidRPr="00E77A09" w:rsidRDefault="00192748" w:rsidP="00C22DDB">
      <w:pPr>
        <w:spacing w:before="120"/>
        <w:jc w:val="both"/>
        <w:rPr>
          <w:i/>
          <w:sz w:val="22"/>
          <w:szCs w:val="22"/>
        </w:rPr>
      </w:pPr>
      <w:r w:rsidRPr="00E77A09">
        <w:rPr>
          <w:i/>
          <w:sz w:val="22"/>
          <w:szCs w:val="22"/>
        </w:rPr>
        <w:t xml:space="preserve">Источник: </w:t>
      </w:r>
      <w:r w:rsidR="00E77A09" w:rsidRPr="00E77A09">
        <w:rPr>
          <w:i/>
          <w:sz w:val="22"/>
          <w:szCs w:val="22"/>
        </w:rPr>
        <w:t>«Экономическое обозрение», 2006, 8, стр. 13.</w:t>
      </w:r>
    </w:p>
    <w:p w:rsidR="000C657C" w:rsidRDefault="000C657C" w:rsidP="000C657C">
      <w:pPr>
        <w:spacing w:before="120"/>
        <w:jc w:val="both"/>
      </w:pPr>
      <w:r w:rsidRPr="00555A33">
        <w:t xml:space="preserve">Наибольшие нарекания </w:t>
      </w:r>
      <w:r>
        <w:t xml:space="preserve">у экспертов и предпринимателей </w:t>
      </w:r>
      <w:r w:rsidRPr="00555A33">
        <w:t>вызывают высокие налоги на труд (особенно «низкие ступени» ставок подоходного налога), ограничивающие возможности роста численности занятых и заставляющие предпринимателей искать «серые» схемы ведения бизнеса, а также</w:t>
      </w:r>
      <w:r w:rsidRPr="00D519BC">
        <w:t xml:space="preserve"> </w:t>
      </w:r>
      <w:r w:rsidRPr="00555A33">
        <w:t>налоги с валовой выручки</w:t>
      </w:r>
      <w:r>
        <w:t xml:space="preserve"> (для предприятий, </w:t>
      </w:r>
      <w:r>
        <w:lastRenderedPageBreak/>
        <w:t>работающих в общеустановленном режиме налогообложения)</w:t>
      </w:r>
      <w:r w:rsidRPr="00555A33">
        <w:t>, которые съедают существенную часть чистых доходов предприятий.</w:t>
      </w:r>
    </w:p>
    <w:p w:rsidR="00496D8F" w:rsidRPr="00327DED" w:rsidRDefault="00496D8F" w:rsidP="00496D8F">
      <w:pPr>
        <w:spacing w:before="120"/>
        <w:jc w:val="both"/>
      </w:pPr>
      <w:r w:rsidRPr="00327DED">
        <w:t xml:space="preserve">В </w:t>
      </w:r>
      <w:r w:rsidRPr="00327DED">
        <w:rPr>
          <w:highlight w:val="yellow"/>
        </w:rPr>
        <w:t xml:space="preserve">Таблице </w:t>
      </w:r>
      <w:r w:rsidR="00C22DDB" w:rsidRPr="00327DED">
        <w:rPr>
          <w:highlight w:val="yellow"/>
        </w:rPr>
        <w:t xml:space="preserve">1 </w:t>
      </w:r>
      <w:r w:rsidR="00327DED" w:rsidRPr="00327DED">
        <w:rPr>
          <w:highlight w:val="yellow"/>
        </w:rPr>
        <w:t>П</w:t>
      </w:r>
      <w:r w:rsidR="00C22DDB" w:rsidRPr="00327DED">
        <w:rPr>
          <w:highlight w:val="yellow"/>
        </w:rPr>
        <w:t>риложения 6</w:t>
      </w:r>
      <w:r w:rsidRPr="00327DED">
        <w:t xml:space="preserve"> п</w:t>
      </w:r>
      <w:r w:rsidR="00C22DDB" w:rsidRPr="00327DED">
        <w:t xml:space="preserve">оказано как меняется размер налогов на труд в зависимости от размера фонда оплаты труда. Даже при выплате </w:t>
      </w:r>
      <w:r w:rsidR="00327DED" w:rsidRPr="00327DED">
        <w:t xml:space="preserve">на руки </w:t>
      </w:r>
      <w:r w:rsidR="000C657C">
        <w:t xml:space="preserve">очень небольшой </w:t>
      </w:r>
      <w:r w:rsidR="00C22DDB" w:rsidRPr="00327DED">
        <w:t xml:space="preserve">зарплаты </w:t>
      </w:r>
      <w:r w:rsidRPr="00327DED">
        <w:t>(например</w:t>
      </w:r>
      <w:r w:rsidR="000C657C">
        <w:t>,</w:t>
      </w:r>
      <w:r w:rsidRPr="00327DED">
        <w:t xml:space="preserve"> 100 тыс.</w:t>
      </w:r>
      <w:r w:rsidR="00327DED" w:rsidRPr="00327DED">
        <w:t xml:space="preserve"> </w:t>
      </w:r>
      <w:r w:rsidR="000C657C">
        <w:t xml:space="preserve">сум </w:t>
      </w:r>
      <w:r w:rsidR="00327DED" w:rsidRPr="00327DED">
        <w:t>в месяц)</w:t>
      </w:r>
      <w:r w:rsidRPr="00327DED">
        <w:t xml:space="preserve"> выплаты государству со стороны работодателя и работника должны составить 47% от «чистой» зарплаты</w:t>
      </w:r>
      <w:r w:rsidR="000C657C">
        <w:rPr>
          <w:rStyle w:val="a5"/>
        </w:rPr>
        <w:footnoteReference w:id="8"/>
      </w:r>
      <w:r w:rsidRPr="00327DED">
        <w:t xml:space="preserve">. А </w:t>
      </w:r>
      <w:r w:rsidR="00327DED" w:rsidRPr="00327DED">
        <w:t>начиная с «чистой» зарплаты чуть больше 550 тыс. сумм в месяц выплаты государству будут превышать</w:t>
      </w:r>
      <w:r w:rsidRPr="00327DED">
        <w:t xml:space="preserve"> 60%. А ведь есть еще и другие</w:t>
      </w:r>
      <w:r w:rsidR="00327DED" w:rsidRPr="00327DED">
        <w:t xml:space="preserve"> </w:t>
      </w:r>
      <w:r w:rsidRPr="00327DED">
        <w:t>налоги на предприятия, совокупная уплата которых зачастую делает бизнес (особенно в трудоемких производствах</w:t>
      </w:r>
      <w:r w:rsidR="00327DED">
        <w:t xml:space="preserve"> и производства</w:t>
      </w:r>
      <w:r w:rsidR="000C657C">
        <w:t>х</w:t>
      </w:r>
      <w:r w:rsidR="00327DED">
        <w:t xml:space="preserve"> с высокой долей добавленной стоимости</w:t>
      </w:r>
      <w:r w:rsidRPr="00327DED">
        <w:t>) не рентабельным</w:t>
      </w:r>
      <w:r w:rsidR="00327DED">
        <w:t xml:space="preserve"> – см. </w:t>
      </w:r>
      <w:r w:rsidR="00327DED" w:rsidRPr="00327DED">
        <w:rPr>
          <w:highlight w:val="yellow"/>
        </w:rPr>
        <w:t>Таблицу 2 Приложения 6</w:t>
      </w:r>
      <w:r w:rsidRPr="00327DED">
        <w:t xml:space="preserve">. Все это стимулирует предпринимателей на </w:t>
      </w:r>
      <w:r w:rsidR="00327DED">
        <w:t>сокращение официальной занятости</w:t>
      </w:r>
      <w:r w:rsidRPr="00327DED">
        <w:t xml:space="preserve"> и уклонение от налогообложения.</w:t>
      </w:r>
    </w:p>
    <w:p w:rsidR="009B1EF2" w:rsidRDefault="009B1EF2" w:rsidP="0074323B">
      <w:pPr>
        <w:spacing w:before="120"/>
        <w:jc w:val="both"/>
      </w:pPr>
      <w:r>
        <w:t>Соответственно, уменьшение налоговой нагрузки на труд стимулировало бы ра</w:t>
      </w:r>
      <w:r w:rsidR="00327DED">
        <w:t>сширение занятости и размеров официальной оплаты труда,</w:t>
      </w:r>
      <w:r>
        <w:t xml:space="preserve"> частичную легализацию неформально</w:t>
      </w:r>
      <w:r w:rsidR="00327DED">
        <w:t>го сектора экономики</w:t>
      </w:r>
      <w:r>
        <w:t>. Опыт многих стран показывает, что от снижения налогов государственный бюджет выигрывает</w:t>
      </w:r>
      <w:r w:rsidR="00327DED">
        <w:t xml:space="preserve"> не только в долгосрочной перспективе (за счет ускорения экономического роста)</w:t>
      </w:r>
      <w:r>
        <w:t xml:space="preserve">, </w:t>
      </w:r>
      <w:r w:rsidR="00327DED">
        <w:t>но и в среднесрочном и даже в краткосрочном периодах (за счет</w:t>
      </w:r>
      <w:r>
        <w:t xml:space="preserve"> </w:t>
      </w:r>
      <w:r w:rsidR="00327DED">
        <w:t>легализации</w:t>
      </w:r>
      <w:r>
        <w:t xml:space="preserve"> теневой экономики</w:t>
      </w:r>
      <w:r w:rsidR="00327DED">
        <w:t>)</w:t>
      </w:r>
      <w:r>
        <w:t>.</w:t>
      </w:r>
    </w:p>
    <w:tbl>
      <w:tblPr>
        <w:tblStyle w:val="af5"/>
        <w:tblW w:w="0" w:type="auto"/>
        <w:tblLook w:val="04A0"/>
      </w:tblPr>
      <w:tblGrid>
        <w:gridCol w:w="9571"/>
      </w:tblGrid>
      <w:tr w:rsidR="00983D8F" w:rsidTr="00983D8F">
        <w:tc>
          <w:tcPr>
            <w:tcW w:w="9571" w:type="dxa"/>
            <w:shd w:val="clear" w:color="auto" w:fill="D9D9D9" w:themeFill="background1" w:themeFillShade="D9"/>
          </w:tcPr>
          <w:p w:rsidR="00983D8F" w:rsidRPr="00983D8F" w:rsidRDefault="00983D8F" w:rsidP="00983D8F">
            <w:pPr>
              <w:spacing w:before="100" w:afterAutospacing="0"/>
              <w:rPr>
                <w:b/>
              </w:rPr>
            </w:pPr>
            <w:r w:rsidRPr="00983D8F">
              <w:rPr>
                <w:b/>
              </w:rPr>
              <w:t>Опыт сокращения налогов на труд</w:t>
            </w:r>
            <w:r w:rsidR="00E70883">
              <w:rPr>
                <w:b/>
              </w:rPr>
              <w:t xml:space="preserve"> в РФ</w:t>
            </w:r>
          </w:p>
          <w:p w:rsidR="00983D8F" w:rsidRPr="00983D8F" w:rsidRDefault="00983D8F" w:rsidP="00983D8F">
            <w:pPr>
              <w:spacing w:before="100" w:afterAutospacing="0"/>
              <w:jc w:val="both"/>
              <w:rPr>
                <w:rFonts w:eastAsiaTheme="minorHAnsi"/>
                <w:lang w:eastAsia="en-US"/>
              </w:rPr>
            </w:pPr>
            <w:r w:rsidRPr="00983D8F">
              <w:t xml:space="preserve">Предложения о снижении </w:t>
            </w:r>
            <w:r w:rsidRPr="00983D8F">
              <w:rPr>
                <w:rFonts w:eastAsiaTheme="minorHAnsi"/>
                <w:lang w:eastAsia="en-US"/>
              </w:rPr>
              <w:t>налоговых ставок воспринимается государственными органами (в первую очередь, финансовыми) отрицательно. Главный их аргумент: могут снизиться поступления в бюджет. Однако зарубежный опыт показывает, что небольшое сокращение поступлений на первом этапе после снижения ставок компенсируется их дальнейшим ростом за счет увеличения количества налогоплательщиков, желающих легализовать свои доходы при более низкой ставке.</w:t>
            </w:r>
          </w:p>
          <w:p w:rsidR="00983D8F" w:rsidRPr="00983D8F" w:rsidRDefault="00983D8F" w:rsidP="00983D8F">
            <w:pPr>
              <w:autoSpaceDE w:val="0"/>
              <w:autoSpaceDN w:val="0"/>
              <w:adjustRightInd w:val="0"/>
              <w:spacing w:before="100" w:afterAutospacing="0"/>
              <w:jc w:val="both"/>
              <w:rPr>
                <w:rFonts w:eastAsiaTheme="minorHAnsi"/>
                <w:lang w:eastAsia="en-US"/>
              </w:rPr>
            </w:pPr>
            <w:r w:rsidRPr="00983D8F">
              <w:rPr>
                <w:rFonts w:eastAsiaTheme="minorHAnsi"/>
                <w:lang w:eastAsia="en-US"/>
              </w:rPr>
              <w:t>Об этом говорит опыт Российской Федерации, где 2001 году были внесены весьма существенные изменения в ставки и в способы взимания некоторых налогов. Высказывалось немало опасений, что налоговые новации могут серьезно повлиять на уровень собираемости налогов. Прежде всего, это относилось к налогу на доходы физических лиц и единому социальному налогу (ЕСН). Тем не менее, введение единой 13%-ной ставки подоходного налога полностью себя оправдало: за 11 месяцев 2001 года поступления подоходного налога в консолидированный бюджет возросли по сравнению с аналогичным периодом 2000 года на 49%. Было перевыполнено задание и по сбору единого социального налога (с 2001 года взимается по регрессивной шкале налогообложения).</w:t>
            </w:r>
          </w:p>
          <w:p w:rsidR="00983D8F" w:rsidRDefault="00983D8F" w:rsidP="00983D8F">
            <w:pPr>
              <w:spacing w:before="100" w:afterAutospacing="0"/>
              <w:jc w:val="both"/>
            </w:pPr>
            <w:r w:rsidRPr="00983D8F">
              <w:rPr>
                <w:i/>
              </w:rPr>
              <w:t>Источник: «Экономическое обозрение, 2005, 7, стр. 13.</w:t>
            </w:r>
          </w:p>
        </w:tc>
      </w:tr>
    </w:tbl>
    <w:p w:rsidR="00EA00D3" w:rsidRDefault="0074323B" w:rsidP="00EA00D3">
      <w:pPr>
        <w:spacing w:before="120"/>
        <w:jc w:val="both"/>
      </w:pPr>
      <w:r w:rsidRPr="007C0D5D">
        <w:t xml:space="preserve">Проблема </w:t>
      </w:r>
      <w:r w:rsidR="00983D8F">
        <w:t xml:space="preserve">относительно </w:t>
      </w:r>
      <w:r w:rsidRPr="007C0D5D">
        <w:t>высокой налоговой нагрузки тесно переплетена с проблемой низкого порога отнесения к малым предприятиям</w:t>
      </w:r>
      <w:r w:rsidRPr="007C0D5D">
        <w:rPr>
          <w:rStyle w:val="a5"/>
        </w:rPr>
        <w:footnoteReference w:id="9"/>
      </w:r>
      <w:r w:rsidRPr="007C0D5D">
        <w:t>, особенно острой для отраслей экономики</w:t>
      </w:r>
      <w:r w:rsidR="004909A2">
        <w:t>, в которых производятся товары и услуги</w:t>
      </w:r>
      <w:r w:rsidRPr="007C0D5D">
        <w:t xml:space="preserve"> с высокой </w:t>
      </w:r>
      <w:r w:rsidR="004909A2">
        <w:t xml:space="preserve">долей </w:t>
      </w:r>
      <w:r w:rsidRPr="007C0D5D">
        <w:t>добавленной стоимост</w:t>
      </w:r>
      <w:r w:rsidR="004909A2">
        <w:t>и</w:t>
      </w:r>
      <w:r w:rsidRPr="007C0D5D">
        <w:t>. Дело в том, что предприятия, не являющиеся малыми, не могут</w:t>
      </w:r>
      <w:r w:rsidR="00D519BC" w:rsidRPr="00D519BC">
        <w:t xml:space="preserve"> </w:t>
      </w:r>
      <w:r w:rsidR="00D519BC" w:rsidRPr="007C0D5D">
        <w:t>использовать упрощенную систему налогообложения</w:t>
      </w:r>
      <w:r w:rsidRPr="007C0D5D">
        <w:t>. Между тем в отраслях производящих продукцию с высокой добавленной стоимостью разрыв в налоговой нагрузке между предприятиями</w:t>
      </w:r>
      <w:r w:rsidR="00A91730">
        <w:t>,</w:t>
      </w:r>
      <w:r w:rsidRPr="007C0D5D">
        <w:t xml:space="preserve"> работающими в упрощенном и общеустановленном режимах </w:t>
      </w:r>
      <w:r w:rsidR="004909A2">
        <w:t>налогообложения</w:t>
      </w:r>
      <w:r w:rsidR="00A91730">
        <w:t>,</w:t>
      </w:r>
      <w:r w:rsidR="004909A2">
        <w:t xml:space="preserve"> </w:t>
      </w:r>
      <w:r w:rsidRPr="007C0D5D">
        <w:t>может достигать 2-3 раз</w:t>
      </w:r>
      <w:r>
        <w:t xml:space="preserve"> (без учета налогов на труд, которые одинаковы для всех предприятий)</w:t>
      </w:r>
      <w:r w:rsidR="0099758C">
        <w:t xml:space="preserve"> – см. </w:t>
      </w:r>
      <w:r w:rsidR="0099758C" w:rsidRPr="0099758C">
        <w:rPr>
          <w:highlight w:val="yellow"/>
        </w:rPr>
        <w:t>Таблицу 3 Приложения 6</w:t>
      </w:r>
      <w:r>
        <w:t xml:space="preserve">. Поэтому предприятия таких отраслей </w:t>
      </w:r>
      <w:r w:rsidRPr="0009276B">
        <w:t>стара</w:t>
      </w:r>
      <w:r>
        <w:t>ю</w:t>
      </w:r>
      <w:r w:rsidRPr="0009276B">
        <w:t xml:space="preserve">тся работать по упрощенной системе налогообложения. </w:t>
      </w:r>
      <w:r>
        <w:t>Для этого им зачастую</w:t>
      </w:r>
      <w:r w:rsidRPr="0009276B">
        <w:t xml:space="preserve"> приходится либо </w:t>
      </w:r>
      <w:r>
        <w:t xml:space="preserve">искусственно </w:t>
      </w:r>
      <w:r w:rsidRPr="0009276B">
        <w:t xml:space="preserve">ограничивать число работников, либо дробиться на несколько предприятий (что увеличивает транзакционные и организационные издержки), либо искать </w:t>
      </w:r>
      <w:r>
        <w:t>«</w:t>
      </w:r>
      <w:r w:rsidRPr="0009276B">
        <w:t>серые</w:t>
      </w:r>
      <w:r>
        <w:t>»</w:t>
      </w:r>
      <w:r w:rsidRPr="0009276B">
        <w:t xml:space="preserve"> </w:t>
      </w:r>
      <w:r w:rsidRPr="0009276B">
        <w:lastRenderedPageBreak/>
        <w:t>схемы, чтобы обойти это ограничение.</w:t>
      </w:r>
      <w:r w:rsidR="00EA00D3">
        <w:t xml:space="preserve"> Исследование, проведенное Международной финансовой корпорацией, подтверждает, что «существующая система налогообложения не поощряет рост предприятий и их переход на более сложные режимы налогообложения… Большая часть предприятий предпочитает оставаться на упрощенной системе налогообложения. Только 8% хозяйствующих субъектов платят общеустановленные налоги и платежи. Менее 6% предприятий являются плательщиками НДС»</w:t>
      </w:r>
      <w:r w:rsidR="00EA00D3">
        <w:rPr>
          <w:rStyle w:val="a5"/>
        </w:rPr>
        <w:footnoteReference w:id="10"/>
      </w:r>
      <w:r w:rsidR="00EA00D3">
        <w:t>.</w:t>
      </w:r>
    </w:p>
    <w:p w:rsidR="001D4AE7" w:rsidRDefault="00F80C95" w:rsidP="00274321">
      <w:pPr>
        <w:spacing w:before="120"/>
        <w:jc w:val="both"/>
      </w:pPr>
      <w:r w:rsidRPr="00F80C95">
        <w:rPr>
          <w:b/>
        </w:rPr>
        <w:t xml:space="preserve">Эффективность использования </w:t>
      </w:r>
      <w:r w:rsidR="009A5A38">
        <w:rPr>
          <w:b/>
        </w:rPr>
        <w:t>рабочей силы</w:t>
      </w:r>
      <w:r>
        <w:t xml:space="preserve">. </w:t>
      </w:r>
      <w:r w:rsidR="00274321">
        <w:t xml:space="preserve">Далее о </w:t>
      </w:r>
      <w:r w:rsidR="00274321" w:rsidRPr="00F80C95">
        <w:rPr>
          <w:b/>
          <w:i/>
        </w:rPr>
        <w:t>качественной стороне человеческого капитала</w:t>
      </w:r>
      <w:r w:rsidR="00274321">
        <w:t xml:space="preserve">. </w:t>
      </w:r>
      <w:r w:rsidR="004F5034">
        <w:t>Д</w:t>
      </w:r>
      <w:r w:rsidR="00274321">
        <w:t xml:space="preserve">ля </w:t>
      </w:r>
      <w:r w:rsidR="001D4AE7">
        <w:t xml:space="preserve">экономического процветания региона и материального благополучия его жителей важно не только </w:t>
      </w:r>
      <w:r w:rsidR="00A55E93">
        <w:t>число потенциальных и действующих работников</w:t>
      </w:r>
      <w:r w:rsidR="001D4AE7">
        <w:t xml:space="preserve">, </w:t>
      </w:r>
      <w:r w:rsidR="00A55E93">
        <w:t>но и эффективность их деятельности.</w:t>
      </w:r>
      <w:r w:rsidR="001D4AE7">
        <w:t xml:space="preserve"> Это вполне очевидно: чем квалифицированней, трудолюбивей и предприимчивей работники и предприниматели, тем больше полезных благ они могут создать</w:t>
      </w:r>
      <w:r w:rsidR="00CA1E89">
        <w:t>, тем больше доходов получить</w:t>
      </w:r>
      <w:r w:rsidR="001D4AE7">
        <w:t xml:space="preserve">. </w:t>
      </w:r>
    </w:p>
    <w:p w:rsidR="00574A2D" w:rsidRDefault="00574A2D" w:rsidP="00574A2D">
      <w:pPr>
        <w:spacing w:before="120"/>
        <w:jc w:val="both"/>
      </w:pPr>
      <w:r>
        <w:t xml:space="preserve">Один из показателей, демонстрирующий уровень эффективности рабочей силы, – </w:t>
      </w:r>
      <w:r w:rsidRPr="00F80C95">
        <w:rPr>
          <w:b/>
          <w:i/>
        </w:rPr>
        <w:t>производительность труда</w:t>
      </w:r>
      <w:r>
        <w:t xml:space="preserve">. Анализ производительности труда (объем производства на занятых) по основным отраслям экономики показывает, что, как правило, в регионах с более высоким уровнем ЭИЧР производительность труда выше – см. </w:t>
      </w:r>
      <w:r w:rsidRPr="0069580D">
        <w:rPr>
          <w:highlight w:val="yellow"/>
        </w:rPr>
        <w:t xml:space="preserve">Рисунок </w:t>
      </w:r>
      <w:r w:rsidR="004F5034">
        <w:rPr>
          <w:highlight w:val="yellow"/>
        </w:rPr>
        <w:t>2.</w:t>
      </w:r>
      <w:r>
        <w:rPr>
          <w:highlight w:val="yellow"/>
        </w:rPr>
        <w:t>6</w:t>
      </w:r>
      <w:r>
        <w:rPr>
          <w:rStyle w:val="a5"/>
        </w:rPr>
        <w:footnoteReference w:id="11"/>
      </w:r>
      <w:r>
        <w:t>.</w:t>
      </w:r>
    </w:p>
    <w:p w:rsidR="00D77938" w:rsidRDefault="00D77938" w:rsidP="00D77938">
      <w:pPr>
        <w:spacing w:before="120"/>
        <w:jc w:val="both"/>
      </w:pPr>
      <w:r>
        <w:rPr>
          <w:b/>
        </w:rPr>
        <w:t>Рисунок</w:t>
      </w:r>
      <w:r w:rsidRPr="00FF07A1">
        <w:rPr>
          <w:b/>
        </w:rPr>
        <w:t xml:space="preserve"> </w:t>
      </w:r>
      <w:r w:rsidR="004F5034">
        <w:rPr>
          <w:b/>
        </w:rPr>
        <w:t>2.</w:t>
      </w:r>
      <w:r>
        <w:rPr>
          <w:b/>
        </w:rPr>
        <w:t>6</w:t>
      </w:r>
      <w:r w:rsidRPr="00FF07A1">
        <w:rPr>
          <w:b/>
        </w:rPr>
        <w:t xml:space="preserve">. </w:t>
      </w:r>
      <w:r>
        <w:rPr>
          <w:b/>
        </w:rPr>
        <w:t>Производительность труда (объем производства на число занятых в отрасли)</w:t>
      </w:r>
      <w:r w:rsidRPr="00FF07A1">
        <w:rPr>
          <w:b/>
        </w:rPr>
        <w:t xml:space="preserve">, </w:t>
      </w:r>
      <w:r>
        <w:rPr>
          <w:b/>
        </w:rPr>
        <w:t xml:space="preserve">средние значения за 2004-2008 гг., </w:t>
      </w:r>
      <w:r w:rsidRPr="00FF07A1">
        <w:rPr>
          <w:b/>
        </w:rPr>
        <w:t xml:space="preserve">в тыс. </w:t>
      </w:r>
      <w:r>
        <w:rPr>
          <w:b/>
        </w:rPr>
        <w:t>сум (в ценах 2005 г.).</w:t>
      </w:r>
    </w:p>
    <w:p w:rsidR="00D77938" w:rsidRDefault="00D77938" w:rsidP="00D77938">
      <w:pPr>
        <w:spacing w:before="120"/>
        <w:jc w:val="center"/>
      </w:pPr>
      <w:r w:rsidRPr="004213F1">
        <w:rPr>
          <w:noProof/>
        </w:rPr>
        <w:drawing>
          <wp:inline distT="0" distB="0" distL="0" distR="0">
            <wp:extent cx="4572000" cy="2933700"/>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7938" w:rsidRDefault="00D77938" w:rsidP="00D77938">
      <w:pPr>
        <w:spacing w:before="120"/>
        <w:jc w:val="both"/>
      </w:pPr>
      <w:r>
        <w:t xml:space="preserve">Производительность труда зависит главным образом от двух факторов: капиталовооруженности работника (его оснащенности техническими средствами) и качества человеческого капитала. Капиталовооруженность определяется наличием и состоянием физического капитала. Мы рассмотрим этот вопрос ниже. Качество человеческого капитала зависит прежде всего от уровня образования работника. Используем для оценки этого уровня образовательный индекс человеческого развития (ОИЧР - см. </w:t>
      </w:r>
      <w:r w:rsidRPr="00F91282">
        <w:rPr>
          <w:highlight w:val="yellow"/>
        </w:rPr>
        <w:t>Главу 1</w:t>
      </w:r>
      <w:r>
        <w:t xml:space="preserve">). Из </w:t>
      </w:r>
      <w:r w:rsidRPr="00870E71">
        <w:rPr>
          <w:highlight w:val="yellow"/>
        </w:rPr>
        <w:t xml:space="preserve">Рисунка </w:t>
      </w:r>
      <w:r w:rsidR="004F5034">
        <w:rPr>
          <w:highlight w:val="yellow"/>
        </w:rPr>
        <w:t>2.</w:t>
      </w:r>
      <w:r>
        <w:rPr>
          <w:highlight w:val="yellow"/>
        </w:rPr>
        <w:t>7</w:t>
      </w:r>
      <w:r>
        <w:t xml:space="preserve"> видно, что региональные ЭИЧР и ОИЧР тесно связаны между собой: чем ниже ОИЧР, тем</w:t>
      </w:r>
      <w:r w:rsidR="004F5034">
        <w:t>, как правило,</w:t>
      </w:r>
      <w:r>
        <w:t xml:space="preserve"> ниже и ЭИЧР. Исключение представляют Ферганская, Наманганская, Сырдарьинская, Джизакская области и </w:t>
      </w:r>
      <w:r>
        <w:lastRenderedPageBreak/>
        <w:t xml:space="preserve">Республика Каракалпакстан, где относительно более высокий уровень образовательного индекса не соответствует месту региона в рейтинге по ЭИЧР. </w:t>
      </w:r>
    </w:p>
    <w:p w:rsidR="00F91282" w:rsidRPr="006C682D" w:rsidRDefault="00F91282" w:rsidP="00AF410B">
      <w:pPr>
        <w:spacing w:before="120"/>
        <w:jc w:val="both"/>
        <w:rPr>
          <w:b/>
        </w:rPr>
      </w:pPr>
      <w:r w:rsidRPr="006C682D">
        <w:rPr>
          <w:b/>
        </w:rPr>
        <w:t xml:space="preserve">Рисунок </w:t>
      </w:r>
      <w:r w:rsidR="004F5034">
        <w:rPr>
          <w:b/>
        </w:rPr>
        <w:t>2.</w:t>
      </w:r>
      <w:r w:rsidR="00CD0052">
        <w:rPr>
          <w:b/>
        </w:rPr>
        <w:t>7</w:t>
      </w:r>
      <w:r w:rsidRPr="006C682D">
        <w:rPr>
          <w:b/>
        </w:rPr>
        <w:t>. Средн</w:t>
      </w:r>
      <w:r w:rsidR="004F5034">
        <w:rPr>
          <w:b/>
        </w:rPr>
        <w:t>и</w:t>
      </w:r>
      <w:r w:rsidRPr="006C682D">
        <w:rPr>
          <w:b/>
        </w:rPr>
        <w:t>е значени</w:t>
      </w:r>
      <w:r w:rsidR="004F5034">
        <w:rPr>
          <w:b/>
        </w:rPr>
        <w:t>я</w:t>
      </w:r>
      <w:r w:rsidRPr="006C682D">
        <w:rPr>
          <w:b/>
        </w:rPr>
        <w:t xml:space="preserve"> за 2004-2008 гг. экономического индекса человеческого развития (ЭИЧР) и образовательного индекса человеческого развития (ОИЧР).</w:t>
      </w:r>
    </w:p>
    <w:p w:rsidR="00F91282" w:rsidRDefault="003363E4" w:rsidP="006C682D">
      <w:pPr>
        <w:spacing w:before="120"/>
        <w:jc w:val="center"/>
      </w:pPr>
      <w:r w:rsidRPr="003363E4">
        <w:rPr>
          <w:noProof/>
        </w:rPr>
        <w:drawing>
          <wp:inline distT="0" distB="0" distL="0" distR="0">
            <wp:extent cx="4572000" cy="2743200"/>
            <wp:effectExtent l="19050" t="0" r="19050"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5034" w:rsidRPr="002F0FFB" w:rsidRDefault="002F0FFB" w:rsidP="002F0FFB">
      <w:pPr>
        <w:tabs>
          <w:tab w:val="num" w:pos="77"/>
        </w:tabs>
        <w:spacing w:before="100"/>
        <w:rPr>
          <w:i/>
          <w:color w:val="000000"/>
          <w:sz w:val="22"/>
          <w:szCs w:val="22"/>
        </w:rPr>
      </w:pPr>
      <w:r w:rsidRPr="002F0FFB">
        <w:rPr>
          <w:i/>
          <w:color w:val="000000"/>
          <w:sz w:val="22"/>
          <w:szCs w:val="22"/>
        </w:rPr>
        <w:t>Источники: график построен на основе данных Таблицы 1.3</w:t>
      </w:r>
      <w:r>
        <w:rPr>
          <w:i/>
          <w:color w:val="000000"/>
          <w:sz w:val="22"/>
          <w:szCs w:val="22"/>
        </w:rPr>
        <w:t xml:space="preserve"> и Таблицы 5 Приложения 4.</w:t>
      </w:r>
    </w:p>
    <w:tbl>
      <w:tblPr>
        <w:tblStyle w:val="af5"/>
        <w:tblW w:w="0" w:type="auto"/>
        <w:shd w:val="clear" w:color="auto" w:fill="D9D9D9" w:themeFill="background1" w:themeFillShade="D9"/>
        <w:tblLook w:val="04A0"/>
      </w:tblPr>
      <w:tblGrid>
        <w:gridCol w:w="9571"/>
      </w:tblGrid>
      <w:tr w:rsidR="00F84848" w:rsidTr="00F84848">
        <w:tc>
          <w:tcPr>
            <w:tcW w:w="9571" w:type="dxa"/>
            <w:shd w:val="clear" w:color="auto" w:fill="D9D9D9" w:themeFill="background1" w:themeFillShade="D9"/>
          </w:tcPr>
          <w:p w:rsidR="00F84848" w:rsidRPr="00F84848" w:rsidRDefault="00F84848" w:rsidP="00F84848">
            <w:pPr>
              <w:tabs>
                <w:tab w:val="num" w:pos="77"/>
              </w:tabs>
              <w:spacing w:before="100" w:afterAutospacing="0"/>
              <w:rPr>
                <w:b/>
                <w:color w:val="000000"/>
              </w:rPr>
            </w:pPr>
            <w:r w:rsidRPr="00F84848">
              <w:rPr>
                <w:b/>
                <w:color w:val="000000"/>
              </w:rPr>
              <w:t>Опыт обучения профессиональным навыкам женщин</w:t>
            </w:r>
          </w:p>
          <w:p w:rsidR="00F84848" w:rsidRPr="00F84848" w:rsidRDefault="00F84848" w:rsidP="00F84848">
            <w:pPr>
              <w:tabs>
                <w:tab w:val="num" w:pos="77"/>
              </w:tabs>
              <w:spacing w:before="100" w:afterAutospacing="0"/>
              <w:jc w:val="both"/>
            </w:pPr>
            <w:r w:rsidRPr="00F84848">
              <w:rPr>
                <w:color w:val="000000"/>
              </w:rPr>
              <w:t xml:space="preserve">С первых дней существования </w:t>
            </w:r>
            <w:r w:rsidRPr="00F84848">
              <w:t>Ассоциация деловых женщин Узбекистана (АДЖУ) «Тадбиркор Аёл»</w:t>
            </w:r>
            <w:r w:rsidRPr="00F84848">
              <w:rPr>
                <w:color w:val="000000"/>
              </w:rPr>
              <w:t xml:space="preserve"> работает над разработкой учебных модулей для женщин, имеющих высшее, среднее специальное и среднее образование, желающих получить новую специальность или начать свой бизнес. Одним из самых интересных проектов стал партнерский проект с Ремесленной палатой Германии «Рейнхессен». Деятельность по данной инициативе была начата с 1996 года. В рамках данного проекта около 60 тыс. человек получили профессиональное обучение, 12 тыс. обучились навыкам ведения бизнеса и овладели тайнами мастерства </w:t>
            </w:r>
            <w:r w:rsidRPr="00F84848">
              <w:t xml:space="preserve">по 12 специальностям. </w:t>
            </w:r>
          </w:p>
          <w:p w:rsidR="00F84848" w:rsidRDefault="00F84848" w:rsidP="00F84848">
            <w:pPr>
              <w:widowControl w:val="0"/>
              <w:autoSpaceDE w:val="0"/>
              <w:autoSpaceDN w:val="0"/>
              <w:adjustRightInd w:val="0"/>
              <w:spacing w:before="100" w:afterAutospacing="0"/>
              <w:jc w:val="both"/>
              <w:rPr>
                <w:b/>
                <w:color w:val="000000"/>
                <w:highlight w:val="lightGray"/>
              </w:rPr>
            </w:pPr>
            <w:r w:rsidRPr="00F84848">
              <w:t xml:space="preserve">Одно из направлений деятельности АДЖУ - микрофинансирование. Для оказания финансовой поддержки в улучшении экономического положения женщин и их семей разработаны и успешно применены такие виды финансовых институтов как кредитные союзы и программы микрофинансирования. </w:t>
            </w:r>
            <w:r w:rsidRPr="00F84848">
              <w:rPr>
                <w:iCs/>
              </w:rPr>
              <w:t>Инновационность программы заключается не просто в появлении новых</w:t>
            </w:r>
            <w:r w:rsidRPr="00F84848">
              <w:t xml:space="preserve"> образовательных и финансовых услуг, а в создании механизма по разработке устойчивого цикла прохождения малоимущей, пассивной женщины от статуса безработной до статуса самореализованной и, принимающей активное участие в общественной жизни.</w:t>
            </w:r>
          </w:p>
        </w:tc>
      </w:tr>
    </w:tbl>
    <w:p w:rsidR="004F5034" w:rsidRPr="00F84848" w:rsidRDefault="004F5034" w:rsidP="009A5A38">
      <w:pPr>
        <w:tabs>
          <w:tab w:val="num" w:pos="77"/>
        </w:tabs>
        <w:spacing w:before="100"/>
        <w:jc w:val="center"/>
        <w:rPr>
          <w:b/>
          <w:color w:val="000000"/>
          <w:sz w:val="10"/>
          <w:szCs w:val="10"/>
          <w:highlight w:val="lightGray"/>
        </w:rPr>
      </w:pPr>
    </w:p>
    <w:tbl>
      <w:tblPr>
        <w:tblStyle w:val="af5"/>
        <w:tblW w:w="0" w:type="auto"/>
        <w:tblLook w:val="04A0"/>
      </w:tblPr>
      <w:tblGrid>
        <w:gridCol w:w="9571"/>
      </w:tblGrid>
      <w:tr w:rsidR="00F84848" w:rsidTr="00F84848">
        <w:tc>
          <w:tcPr>
            <w:tcW w:w="9571" w:type="dxa"/>
            <w:shd w:val="clear" w:color="auto" w:fill="D9D9D9" w:themeFill="background1" w:themeFillShade="D9"/>
          </w:tcPr>
          <w:p w:rsidR="00F84848" w:rsidRPr="00F84848" w:rsidRDefault="00F84848" w:rsidP="00F84848">
            <w:pPr>
              <w:spacing w:before="100" w:afterAutospacing="0"/>
              <w:rPr>
                <w:b/>
              </w:rPr>
            </w:pPr>
            <w:r w:rsidRPr="00F84848">
              <w:rPr>
                <w:b/>
              </w:rPr>
              <w:t>Опыт обучения экотуризму</w:t>
            </w:r>
          </w:p>
          <w:p w:rsidR="00F84848" w:rsidRDefault="00F84848" w:rsidP="00F84848">
            <w:pPr>
              <w:tabs>
                <w:tab w:val="num" w:pos="77"/>
              </w:tabs>
              <w:spacing w:before="100" w:afterAutospacing="0"/>
              <w:jc w:val="both"/>
              <w:rPr>
                <w:b/>
                <w:color w:val="000000"/>
                <w:highlight w:val="lightGray"/>
              </w:rPr>
            </w:pPr>
            <w:r w:rsidRPr="00F84848">
              <w:t>В 2007-08 годах ННО "Зиёрат" (Ташкентская область), при поддержке офиса координатора проектов ОБСЕ в Узбекистане, реализовала проект «</w:t>
            </w:r>
            <w:r w:rsidRPr="00F84848">
              <w:rPr>
                <w:b/>
              </w:rPr>
              <w:t>Обеспечение занятостью населения отдаленных районов через развитие услуг в сфере экотуризма</w:t>
            </w:r>
            <w:r w:rsidRPr="00F84848">
              <w:t>». Проект предусматривал обучение  представителей отдаленных предгорных населенных пунктов области развитию малого бизнеса, специализирующегося на предоставлении услуг в сфере экологического туризма. В рамках реализации проекта были охвачены отдаленные населенные пункты, примыкающие к территории Угам–Чаткальского национального природного парка. Обучением было охвачено более 250 человек, которые начали заниматься оказанием услуг для отдыхающих (приготовление национальных блюд, услуги проводников и т.д.), получая за счет этого дополнительные доходы к семейным бюджетам. Сфера туристических услуг стала развиваться в Паркентском и Охангаранских районах области.</w:t>
            </w:r>
          </w:p>
        </w:tc>
      </w:tr>
    </w:tbl>
    <w:p w:rsidR="009A5A38" w:rsidRPr="00B937E0" w:rsidRDefault="009A5A38" w:rsidP="009A5A38">
      <w:pPr>
        <w:spacing w:before="120"/>
        <w:jc w:val="both"/>
      </w:pPr>
      <w:r w:rsidRPr="00F80C95">
        <w:rPr>
          <w:b/>
        </w:rPr>
        <w:lastRenderedPageBreak/>
        <w:t>Трудовая миграция</w:t>
      </w:r>
      <w:r w:rsidRPr="00CA3946">
        <w:rPr>
          <w:rStyle w:val="a5"/>
        </w:rPr>
        <w:footnoteReference w:id="12"/>
      </w:r>
      <w:r>
        <w:t>.</w:t>
      </w:r>
      <w:r w:rsidRPr="00CA3946">
        <w:t xml:space="preserve"> Как показ</w:t>
      </w:r>
      <w:r>
        <w:t>ывают</w:t>
      </w:r>
      <w:r w:rsidRPr="00CA3946">
        <w:t xml:space="preserve"> </w:t>
      </w:r>
      <w:r w:rsidR="00CF7ECD">
        <w:t xml:space="preserve">результаты </w:t>
      </w:r>
      <w:r>
        <w:t>социологически</w:t>
      </w:r>
      <w:r w:rsidR="00CF7ECD">
        <w:t>х</w:t>
      </w:r>
      <w:r>
        <w:t xml:space="preserve"> </w:t>
      </w:r>
      <w:r w:rsidR="001F1C58">
        <w:t>ис</w:t>
      </w:r>
      <w:r w:rsidRPr="00CA3946">
        <w:t>следовани</w:t>
      </w:r>
      <w:r w:rsidR="00CF7ECD">
        <w:t>й</w:t>
      </w:r>
      <w:r w:rsidRPr="00CA3946">
        <w:t xml:space="preserve">, безработица или отсутствие подходящей </w:t>
      </w:r>
      <w:r w:rsidRPr="00B937E0">
        <w:t xml:space="preserve">работы, а также относительно низкая цена рабочей силы в местах выхода остаются основными факторами трудовой миграции в Узбекистане. </w:t>
      </w:r>
      <w:r w:rsidRPr="00B937E0">
        <w:rPr>
          <w:color w:val="1A171B"/>
        </w:rPr>
        <w:t xml:space="preserve">Однако если </w:t>
      </w:r>
      <w:r w:rsidR="00CF7ECD">
        <w:rPr>
          <w:color w:val="1A171B"/>
        </w:rPr>
        <w:t>главной</w:t>
      </w:r>
      <w:r w:rsidRPr="00B937E0">
        <w:rPr>
          <w:color w:val="1A171B"/>
        </w:rPr>
        <w:t xml:space="preserve"> причиной внутренней миграции является невозможность найти работу (50,9% респондентов), то основн</w:t>
      </w:r>
      <w:r w:rsidR="00CF7ECD">
        <w:rPr>
          <w:color w:val="1A171B"/>
        </w:rPr>
        <w:t>ой</w:t>
      </w:r>
      <w:r w:rsidRPr="00B937E0">
        <w:rPr>
          <w:color w:val="1A171B"/>
        </w:rPr>
        <w:t xml:space="preserve"> мотив внешней миграции </w:t>
      </w:r>
      <w:r w:rsidR="00CF7ECD">
        <w:rPr>
          <w:color w:val="1A171B"/>
        </w:rPr>
        <w:t>-</w:t>
      </w:r>
      <w:r w:rsidRPr="00B937E0">
        <w:rPr>
          <w:color w:val="1A171B"/>
        </w:rPr>
        <w:t xml:space="preserve"> неудовлетворенность уровнем заработной платы и ее несвоевременной выплатой. 86% опрошенных внешних мигрантов были трудоустроены до миграции. Впрочем, в отличии от мужчин</w:t>
      </w:r>
      <w:r w:rsidR="002B26CC">
        <w:rPr>
          <w:color w:val="1A171B"/>
        </w:rPr>
        <w:t>,</w:t>
      </w:r>
      <w:r w:rsidRPr="00B937E0">
        <w:rPr>
          <w:color w:val="1A171B"/>
        </w:rPr>
        <w:t xml:space="preserve"> женщины </w:t>
      </w:r>
      <w:r w:rsidR="00CF7ECD">
        <w:rPr>
          <w:color w:val="1A171B"/>
        </w:rPr>
        <w:t xml:space="preserve">чаще всего </w:t>
      </w:r>
      <w:r w:rsidRPr="00B937E0">
        <w:rPr>
          <w:color w:val="1A171B"/>
        </w:rPr>
        <w:t>принимают решение отправляться за рубеж на заработки вследствие потери источника дохода (развода, потери кормильца, незанятости), либо в силу невозможности продолжать работу на прежнем месте. Косвенной, но достаточно часто упоминаемой причиной трудовой миграции яв</w:t>
      </w:r>
      <w:r w:rsidR="00821498">
        <w:rPr>
          <w:color w:val="1A171B"/>
        </w:rPr>
        <w:t>ляются</w:t>
      </w:r>
      <w:r w:rsidRPr="00B937E0">
        <w:rPr>
          <w:color w:val="1A171B"/>
        </w:rPr>
        <w:t xml:space="preserve"> предстоящие расходы на проведени</w:t>
      </w:r>
      <w:r w:rsidR="00CF7ECD">
        <w:rPr>
          <w:color w:val="1A171B"/>
        </w:rPr>
        <w:t>е</w:t>
      </w:r>
      <w:r w:rsidRPr="00B937E0">
        <w:rPr>
          <w:color w:val="1A171B"/>
        </w:rPr>
        <w:t xml:space="preserve"> свадеб и других обрядов. Также были названы предстоящие расходы на образование детей.</w:t>
      </w:r>
    </w:p>
    <w:p w:rsidR="009A5A38" w:rsidRPr="00B937E0" w:rsidRDefault="009A5A38" w:rsidP="009A5A38">
      <w:pPr>
        <w:spacing w:before="120"/>
        <w:jc w:val="both"/>
      </w:pPr>
      <w:r w:rsidRPr="002A093A">
        <w:t>Трудовая миграция в Узбекистане существовала всегда и происходила как за пределы республики, так и внутри нее. Наиболее распространенными формами внутренних трудовых перемещений были сезонные выезды людей (так называемых «гектарщиков») в южные регионы республики для выращивания лука, риса и т. д., а также временные и</w:t>
      </w:r>
      <w:r w:rsidRPr="00B937E0">
        <w:t xml:space="preserve"> разовые работы сельских жителей («мардикеры») в городах в период спада сельскохозяйственных работ. </w:t>
      </w:r>
    </w:p>
    <w:p w:rsidR="009A5A38" w:rsidRPr="00B937E0" w:rsidRDefault="009A5A38" w:rsidP="009A5A38">
      <w:pPr>
        <w:spacing w:before="120"/>
        <w:jc w:val="both"/>
        <w:rPr>
          <w:i/>
        </w:rPr>
      </w:pPr>
      <w:r w:rsidRPr="00B937E0">
        <w:t>Современная трудовая миграция характеризуется, в отличие от предшествовавшего периода, следующими особенностями:</w:t>
      </w:r>
    </w:p>
    <w:p w:rsidR="009A5A38" w:rsidRPr="00B937E0" w:rsidRDefault="009A5A38" w:rsidP="009A5A38">
      <w:pPr>
        <w:spacing w:before="120"/>
        <w:jc w:val="both"/>
      </w:pPr>
      <w:r w:rsidRPr="00B937E0">
        <w:t>1. Трудовая миграция имеет более массовый характер, при этом с</w:t>
      </w:r>
      <w:r w:rsidRPr="001F1C58">
        <w:t xml:space="preserve">ущественно расширились масштабы внешней миграции. Только по официальным оценкам численность трудовых мигрантов в Узбекистане увеличилась с 44 тысяч человек в 2001 году до более 330 тыс. человек в </w:t>
      </w:r>
      <w:smartTag w:uri="urn:schemas-microsoft-com:office:smarttags" w:element="metricconverter">
        <w:smartTagPr>
          <w:attr w:name="ProductID" w:val="2008 г"/>
        </w:smartTagPr>
        <w:r w:rsidRPr="001F1C58">
          <w:t>2008 г</w:t>
        </w:r>
      </w:smartTag>
      <w:r w:rsidRPr="001F1C58">
        <w:t xml:space="preserve">. </w:t>
      </w:r>
      <w:r w:rsidR="000754E9">
        <w:t>Э</w:t>
      </w:r>
      <w:r w:rsidRPr="001F1C58">
        <w:t>кспертны</w:t>
      </w:r>
      <w:r w:rsidR="000754E9">
        <w:t>е</w:t>
      </w:r>
      <w:r w:rsidRPr="001F1C58">
        <w:t xml:space="preserve"> оценк</w:t>
      </w:r>
      <w:r w:rsidR="000754E9">
        <w:t>и числа</w:t>
      </w:r>
      <w:r w:rsidRPr="001F1C58">
        <w:t xml:space="preserve"> внешних трудовых мигрантов из Узбекистана </w:t>
      </w:r>
      <w:r w:rsidR="000754E9">
        <w:t>разняться от 1,5</w:t>
      </w:r>
      <w:r w:rsidRPr="001F1C58">
        <w:t xml:space="preserve"> </w:t>
      </w:r>
      <w:r w:rsidR="000754E9">
        <w:t xml:space="preserve">до 2,5 млн. </w:t>
      </w:r>
      <w:r w:rsidRPr="001F1C58">
        <w:t>чел.</w:t>
      </w:r>
      <w:r w:rsidRPr="001F1C58">
        <w:rPr>
          <w:rStyle w:val="a5"/>
        </w:rPr>
        <w:footnoteReference w:id="13"/>
      </w:r>
      <w:r w:rsidRPr="001F1C58">
        <w:t>. Объем личных переводов только из России в Узбекистан в 2008 году составил 4647 млн. долл. США, а в 2009</w:t>
      </w:r>
      <w:r w:rsidRPr="00B937E0">
        <w:t xml:space="preserve"> году – 3274 млн. долл. США или около 10% ВВП</w:t>
      </w:r>
      <w:r w:rsidRPr="00B937E0">
        <w:rPr>
          <w:rStyle w:val="a5"/>
        </w:rPr>
        <w:footnoteReference w:id="14"/>
      </w:r>
      <w:r w:rsidRPr="00B937E0">
        <w:t>. Основными регионами, «поставляющими» мигрантов на российский рынок труда являются г. Ташкент, Ташкентская, Навоийская, Самаркандская, Сырдарьинская области</w:t>
      </w:r>
      <w:r w:rsidRPr="00B937E0">
        <w:rPr>
          <w:rStyle w:val="a5"/>
        </w:rPr>
        <w:footnoteReference w:id="15"/>
      </w:r>
      <w:r w:rsidRPr="00B937E0">
        <w:t>.</w:t>
      </w:r>
    </w:p>
    <w:p w:rsidR="009A5A38" w:rsidRPr="00B937E0" w:rsidRDefault="009A5A38" w:rsidP="009A5A38">
      <w:pPr>
        <w:spacing w:before="120"/>
        <w:jc w:val="both"/>
      </w:pPr>
      <w:r w:rsidRPr="00B937E0">
        <w:t>2. Расширен возрастной диапазон трудовых мигрантов: если раньше уезжали, главным образом, молодые люди в возрасте 20-30 лет, то в настоящее время на заработки в другие страны выезжают и люди среднего и даже старшего возраст</w:t>
      </w:r>
      <w:r w:rsidR="002A093A">
        <w:t>ов</w:t>
      </w:r>
      <w:r w:rsidRPr="00B937E0">
        <w:t>.</w:t>
      </w:r>
    </w:p>
    <w:p w:rsidR="0030491B" w:rsidRPr="0030491B" w:rsidRDefault="009A5A38" w:rsidP="009A5A38">
      <w:pPr>
        <w:spacing w:before="120"/>
        <w:jc w:val="both"/>
        <w:rPr>
          <w:color w:val="000000"/>
        </w:rPr>
      </w:pPr>
      <w:r w:rsidRPr="00B937E0">
        <w:t xml:space="preserve">3. Усилилась миграция женщин: если в недавнем прошлом в трудовых миграциях участвовали в основном мужчины, то в последние годы в республике происходит </w:t>
      </w:r>
      <w:r w:rsidRPr="00B937E0">
        <w:lastRenderedPageBreak/>
        <w:t>феминизация миграционных процессов, что проявляется в увеличении доли женщин как во внешних, так и во внутренних миграционных потоках (до 1/3 доли в общем потоке трудовой миграции). На неформальных рынках труда г. Ташкента и областных центров стали складываться самостоятельные сегменты женских мардикор-базаров. В эти процессы в основном вовлекаются женщины, не имеющие достаточного профессионального образования</w:t>
      </w:r>
      <w:r w:rsidR="002B26CC">
        <w:t>,</w:t>
      </w:r>
      <w:r w:rsidRPr="00B937E0">
        <w:t xml:space="preserve"> либо давно потерявшие работу. Если преимущественными видами временных и разовых работ у мужчин являются строительные (69%), сельскохозяйственные (36,2%) и ремонтные(25,8%), то у женщин это бытовые услуги, уборка помещений, стирка (73,7%), уборка и благоустройство территорий (45%), сельскохозяйственные работы (3</w:t>
      </w:r>
      <w:r w:rsidRPr="0030491B">
        <w:t xml:space="preserve">9,8%), сортировка и упаковка фруктов и овощей (18,8%). </w:t>
      </w:r>
      <w:r w:rsidR="0030491B" w:rsidRPr="0030491B">
        <w:rPr>
          <w:color w:val="000000"/>
        </w:rPr>
        <w:t>По результатам опроса, заработок женщин-мигрантов в среднем на 25% ниже, чем у мужчин, независимо от сектора труда.</w:t>
      </w:r>
    </w:p>
    <w:p w:rsidR="009A5A38" w:rsidRPr="00B937E0" w:rsidRDefault="009A5A38" w:rsidP="009A5A38">
      <w:pPr>
        <w:spacing w:before="120"/>
        <w:jc w:val="both"/>
      </w:pPr>
      <w:r w:rsidRPr="0030491B">
        <w:t>Трудовая миграция имеет как положительные, так</w:t>
      </w:r>
      <w:r w:rsidRPr="00B937E0">
        <w:t xml:space="preserve"> и негативные последствия. </w:t>
      </w:r>
    </w:p>
    <w:p w:rsidR="009A5A38" w:rsidRPr="00B937E0" w:rsidRDefault="009A5A38" w:rsidP="009A5A38">
      <w:pPr>
        <w:spacing w:before="120"/>
        <w:jc w:val="both"/>
      </w:pPr>
      <w:r w:rsidRPr="00B937E0">
        <w:t>Трудовая миграция позволяет снижать уровень безработицы, повышать уровень жизни, особенно на селе. Как отмечается в «Стратегии повышения благосостояния Республики Узбекистан», «частично проблема занятости высвобождаемой рабочей силы из сельской местности, а также незанятости в городах решается самим населением посредством временной трудовой миграции сельских жителей - в города, а также сельских и городских жителей - за рубеж»</w:t>
      </w:r>
      <w:r w:rsidRPr="00B937E0">
        <w:rPr>
          <w:rStyle w:val="a5"/>
        </w:rPr>
        <w:footnoteReference w:id="16"/>
      </w:r>
      <w:r w:rsidRPr="00B937E0">
        <w:t xml:space="preserve">. </w:t>
      </w:r>
      <w:r w:rsidRPr="00B937E0">
        <w:rPr>
          <w:color w:val="1A171B"/>
        </w:rPr>
        <w:t xml:space="preserve">Ряд </w:t>
      </w:r>
      <w:r w:rsidR="00D77938">
        <w:rPr>
          <w:color w:val="1A171B"/>
        </w:rPr>
        <w:t>социологических</w:t>
      </w:r>
      <w:r w:rsidRPr="00B937E0">
        <w:rPr>
          <w:color w:val="1A171B"/>
        </w:rPr>
        <w:t xml:space="preserve"> обследований, проведенных в рамках </w:t>
      </w:r>
      <w:r w:rsidR="001F1C58">
        <w:rPr>
          <w:color w:val="1A171B"/>
        </w:rPr>
        <w:t>п</w:t>
      </w:r>
      <w:r w:rsidRPr="00B937E0">
        <w:rPr>
          <w:color w:val="1A171B"/>
        </w:rPr>
        <w:t>роект</w:t>
      </w:r>
      <w:r w:rsidR="001F1C58">
        <w:rPr>
          <w:color w:val="1A171B"/>
        </w:rPr>
        <w:t>ов</w:t>
      </w:r>
      <w:r w:rsidRPr="00B937E0">
        <w:rPr>
          <w:color w:val="1A171B"/>
        </w:rPr>
        <w:t xml:space="preserve"> ПРООН, показывает, что, например, в обследованных сельских районах Республики Каракалпакстан и Наманганской области от 10 до 27% семей имели по крайней мере одного члена семьи, выехавшего на заработки за рубеж. В большинстве случаев миграция имела позитивный эффект на доход семей. </w:t>
      </w:r>
      <w:r w:rsidRPr="00B937E0">
        <w:t>Немаловажно и то, что у мигрантов появляется возможность повысить квалификацию своей рабочей силы, обретая новую профессию или совершенствуя уже имеющиеся профессиональные навыки</w:t>
      </w:r>
      <w:r w:rsidR="007C76E9">
        <w:t>, осваивая новые технологии, которые затем они используют в своей стране</w:t>
      </w:r>
      <w:r w:rsidRPr="00B937E0">
        <w:t xml:space="preserve">. Кроме того, внутренняя трудовая миграция повышает территориальную и профессиональную мобильность трудоспособного населения, что позволяет повысить эффективность использования трудовых ресурсов страны. </w:t>
      </w:r>
      <w:r w:rsidR="00D77938">
        <w:t>Наконец,</w:t>
      </w:r>
      <w:r w:rsidRPr="00B937E0">
        <w:t xml:space="preserve"> благодаря денежным переводам внешних мигрантов стабилизируется платежный баланс страны.</w:t>
      </w:r>
    </w:p>
    <w:p w:rsidR="0030491B" w:rsidRDefault="009A5A38" w:rsidP="009A5A38">
      <w:pPr>
        <w:spacing w:before="120"/>
        <w:jc w:val="both"/>
      </w:pPr>
      <w:r w:rsidRPr="00B937E0">
        <w:t xml:space="preserve">Наиболее сильны негативные последствия трудовой миграции </w:t>
      </w:r>
      <w:r w:rsidR="001F1C58">
        <w:t xml:space="preserve">- </w:t>
      </w:r>
      <w:r w:rsidRPr="00B937E0">
        <w:t xml:space="preserve">социально-демографического плана: осложнение семейных отношений, ухудшение здоровья, недостаточное внимание воспитанию </w:t>
      </w:r>
      <w:r w:rsidR="00D60980">
        <w:t xml:space="preserve">и образованию </w:t>
      </w:r>
      <w:r w:rsidRPr="00B937E0">
        <w:t>детей, а иногда и распад семей и т.д. Бесконтрольная миграция создает почву для развития инфекционных заболеваний, разного рода «социальных болезней» (преступность, наркомания). Мигранты, имеющие квалификацию, но не способные найти соответствующую ей работу, нередко утрачивают свои профессиональные навыки. Внутренняя миграция приводит к расширению занятости в неофициальном секторе экономики, что связанно с имеющимися трудностями при официальной регистрации</w:t>
      </w:r>
      <w:r w:rsidR="00D60980">
        <w:t xml:space="preserve"> (прежде сего с </w:t>
      </w:r>
      <w:r w:rsidR="0027480B">
        <w:t>«</w:t>
      </w:r>
      <w:r w:rsidR="00D60980">
        <w:t>пропиской</w:t>
      </w:r>
      <w:r w:rsidR="0027480B">
        <w:t>»</w:t>
      </w:r>
      <w:r w:rsidR="00D60980">
        <w:t>)</w:t>
      </w:r>
      <w:r w:rsidRPr="00B937E0">
        <w:t xml:space="preserve">, и к возникновению дефицита рабочей силы в </w:t>
      </w:r>
      <w:r w:rsidR="0027480B">
        <w:t>отдельных территориях</w:t>
      </w:r>
      <w:r w:rsidRPr="00B937E0">
        <w:t>.</w:t>
      </w:r>
    </w:p>
    <w:p w:rsidR="0030491B" w:rsidRDefault="0030491B" w:rsidP="009A5A38">
      <w:pPr>
        <w:spacing w:before="120"/>
        <w:jc w:val="both"/>
      </w:pPr>
      <w:r w:rsidRPr="0030491B">
        <w:t xml:space="preserve">Мигранты, особенно если </w:t>
      </w:r>
      <w:r w:rsidR="00D77938">
        <w:t xml:space="preserve">они </w:t>
      </w:r>
      <w:r w:rsidRPr="0030491B">
        <w:t>мигрируют нелегально, могут  встречаться с проявлениями дискриминации на каждом этапе миграционного цикла: в дороге и по пр</w:t>
      </w:r>
      <w:r w:rsidR="002A093A">
        <w:t>и</w:t>
      </w:r>
      <w:r w:rsidRPr="0030491B">
        <w:t xml:space="preserve">бытию на место назначения. Они могут подвергаться плохому обращению, оскорблениям и даже насилию; их жилищные условия могут быть ниже общепринятых норм; на работе они могут подвергаться эксплуатации, трудясь в чрезмерно долгом рабочем графике за низкую заработную плату (особенно те их них, </w:t>
      </w:r>
      <w:r w:rsidR="00D77938">
        <w:t>кто</w:t>
      </w:r>
      <w:r w:rsidRPr="0030491B">
        <w:t xml:space="preserve"> работа</w:t>
      </w:r>
      <w:r w:rsidR="00D77938">
        <w:t>е</w:t>
      </w:r>
      <w:r w:rsidRPr="0030491B">
        <w:t xml:space="preserve">т на поденной основе – мардикоры). </w:t>
      </w:r>
      <w:r w:rsidR="0027480B">
        <w:t>Мигранты также являются основным объектом торговли людьми.</w:t>
      </w:r>
    </w:p>
    <w:p w:rsidR="001B3C16" w:rsidRDefault="009A5A38" w:rsidP="009A5A38">
      <w:pPr>
        <w:spacing w:before="120"/>
        <w:jc w:val="both"/>
        <w:rPr>
          <w:color w:val="1A171B"/>
        </w:rPr>
      </w:pPr>
      <w:r w:rsidRPr="00B937E0">
        <w:rPr>
          <w:color w:val="1A171B"/>
        </w:rPr>
        <w:lastRenderedPageBreak/>
        <w:t xml:space="preserve">Долгосрочным решением проблем миграции является развитие экономики, </w:t>
      </w:r>
      <w:r w:rsidR="00D77938">
        <w:rPr>
          <w:color w:val="1A171B"/>
        </w:rPr>
        <w:t>дальнейше</w:t>
      </w:r>
      <w:r w:rsidRPr="00B937E0">
        <w:rPr>
          <w:color w:val="1A171B"/>
        </w:rPr>
        <w:t>е повышение уровн</w:t>
      </w:r>
      <w:r w:rsidR="001F1C58">
        <w:rPr>
          <w:color w:val="1A171B"/>
        </w:rPr>
        <w:t>ей</w:t>
      </w:r>
      <w:r w:rsidRPr="00B937E0">
        <w:rPr>
          <w:color w:val="1A171B"/>
        </w:rPr>
        <w:t xml:space="preserve"> </w:t>
      </w:r>
      <w:r w:rsidR="001F1C58" w:rsidRPr="00B937E0">
        <w:rPr>
          <w:color w:val="1A171B"/>
        </w:rPr>
        <w:t xml:space="preserve">занятости </w:t>
      </w:r>
      <w:r w:rsidR="001F1C58">
        <w:rPr>
          <w:color w:val="1A171B"/>
        </w:rPr>
        <w:t xml:space="preserve">и </w:t>
      </w:r>
      <w:r w:rsidRPr="00B937E0">
        <w:rPr>
          <w:color w:val="1A171B"/>
        </w:rPr>
        <w:t>жизни населения. Решение проблемы занятости правительство Узбекистана видит в развитии малого бизнеса, промышленности и несельско</w:t>
      </w:r>
      <w:r w:rsidRPr="005C2933">
        <w:rPr>
          <w:color w:val="1A171B"/>
        </w:rPr>
        <w:t xml:space="preserve">хозяйственных производств, особенно в сельской местности. С этой целью разработан и реализуется ряд государственных программ по переработке сельскохозяйственной продукции, развитию малого бизнеса, развитию животноводства на базе дехканских хозяйств, расширению надомного труда, развитию сферы услуг и многие другие. </w:t>
      </w:r>
    </w:p>
    <w:p w:rsidR="009A5A38" w:rsidRPr="005C2933" w:rsidRDefault="001B3C16" w:rsidP="009A5A38">
      <w:pPr>
        <w:spacing w:before="120"/>
        <w:jc w:val="both"/>
        <w:rPr>
          <w:color w:val="1A171B"/>
        </w:rPr>
      </w:pPr>
      <w:r>
        <w:rPr>
          <w:color w:val="1A171B"/>
        </w:rPr>
        <w:t xml:space="preserve">Однако реализация этих программ не отменяет </w:t>
      </w:r>
      <w:r w:rsidR="009A5A38" w:rsidRPr="005C2933">
        <w:rPr>
          <w:color w:val="1A171B"/>
        </w:rPr>
        <w:t>необходимо</w:t>
      </w:r>
      <w:r>
        <w:rPr>
          <w:color w:val="1A171B"/>
        </w:rPr>
        <w:t>сти</w:t>
      </w:r>
      <w:r w:rsidR="009A5A38" w:rsidRPr="005C2933">
        <w:rPr>
          <w:color w:val="1A171B"/>
        </w:rPr>
        <w:t xml:space="preserve"> регулирова</w:t>
      </w:r>
      <w:r>
        <w:rPr>
          <w:color w:val="1A171B"/>
        </w:rPr>
        <w:t>ния</w:t>
      </w:r>
      <w:r w:rsidR="009A5A38" w:rsidRPr="005C2933">
        <w:rPr>
          <w:color w:val="1A171B"/>
        </w:rPr>
        <w:t xml:space="preserve"> миграционны</w:t>
      </w:r>
      <w:r>
        <w:rPr>
          <w:color w:val="1A171B"/>
        </w:rPr>
        <w:t>х</w:t>
      </w:r>
      <w:r w:rsidR="009A5A38" w:rsidRPr="005C2933">
        <w:rPr>
          <w:color w:val="1A171B"/>
        </w:rPr>
        <w:t xml:space="preserve"> процесс</w:t>
      </w:r>
      <w:r>
        <w:rPr>
          <w:color w:val="1A171B"/>
        </w:rPr>
        <w:t>ов</w:t>
      </w:r>
      <w:r w:rsidR="009A5A38" w:rsidRPr="005C2933">
        <w:rPr>
          <w:color w:val="1A171B"/>
        </w:rPr>
        <w:t>, содейств</w:t>
      </w:r>
      <w:r>
        <w:rPr>
          <w:color w:val="1A171B"/>
        </w:rPr>
        <w:t>ия</w:t>
      </w:r>
      <w:r w:rsidR="009A5A38" w:rsidRPr="005C2933">
        <w:rPr>
          <w:color w:val="1A171B"/>
        </w:rPr>
        <w:t xml:space="preserve"> мигрантам в их трудовой деятельности, оказ</w:t>
      </w:r>
      <w:r>
        <w:rPr>
          <w:color w:val="1A171B"/>
        </w:rPr>
        <w:t>ания</w:t>
      </w:r>
      <w:r w:rsidR="009A5A38" w:rsidRPr="005C2933">
        <w:rPr>
          <w:color w:val="1A171B"/>
        </w:rPr>
        <w:t xml:space="preserve"> им правов</w:t>
      </w:r>
      <w:r>
        <w:rPr>
          <w:color w:val="1A171B"/>
        </w:rPr>
        <w:t>ой</w:t>
      </w:r>
      <w:r w:rsidR="009A5A38" w:rsidRPr="005C2933">
        <w:rPr>
          <w:color w:val="1A171B"/>
        </w:rPr>
        <w:t xml:space="preserve"> защит</w:t>
      </w:r>
      <w:r>
        <w:rPr>
          <w:color w:val="1A171B"/>
        </w:rPr>
        <w:t>ы</w:t>
      </w:r>
      <w:r w:rsidR="009A5A38" w:rsidRPr="005C2933">
        <w:rPr>
          <w:color w:val="1A171B"/>
        </w:rPr>
        <w:t xml:space="preserve">. В этой связи </w:t>
      </w:r>
      <w:r w:rsidR="00D77938">
        <w:rPr>
          <w:color w:val="1A171B"/>
        </w:rPr>
        <w:t>актуальным становится принятие</w:t>
      </w:r>
      <w:r w:rsidR="009A5A38" w:rsidRPr="005C2933">
        <w:rPr>
          <w:color w:val="1A171B"/>
        </w:rPr>
        <w:t xml:space="preserve"> закон</w:t>
      </w:r>
      <w:r w:rsidR="00D77938">
        <w:rPr>
          <w:color w:val="1A171B"/>
        </w:rPr>
        <w:t>а</w:t>
      </w:r>
      <w:r w:rsidR="009A5A38" w:rsidRPr="005C2933">
        <w:rPr>
          <w:color w:val="1A171B"/>
        </w:rPr>
        <w:t xml:space="preserve"> «О </w:t>
      </w:r>
      <w:r w:rsidR="00E74C36">
        <w:rPr>
          <w:color w:val="1A171B"/>
        </w:rPr>
        <w:t xml:space="preserve">трудовой </w:t>
      </w:r>
      <w:r w:rsidR="009A5A38" w:rsidRPr="005C2933">
        <w:rPr>
          <w:color w:val="1A171B"/>
        </w:rPr>
        <w:t>миграции»</w:t>
      </w:r>
      <w:r w:rsidR="00D77938">
        <w:rPr>
          <w:color w:val="1A171B"/>
        </w:rPr>
        <w:t>, который создаст</w:t>
      </w:r>
      <w:r w:rsidR="009A5A38" w:rsidRPr="005C2933">
        <w:rPr>
          <w:color w:val="1A171B"/>
        </w:rPr>
        <w:t xml:space="preserve"> правово</w:t>
      </w:r>
      <w:r w:rsidR="00D77938">
        <w:rPr>
          <w:color w:val="1A171B"/>
        </w:rPr>
        <w:t>е</w:t>
      </w:r>
      <w:r w:rsidR="009A5A38" w:rsidRPr="005C2933">
        <w:rPr>
          <w:color w:val="1A171B"/>
        </w:rPr>
        <w:t xml:space="preserve"> обеспечени</w:t>
      </w:r>
      <w:r w:rsidR="00D77938">
        <w:rPr>
          <w:color w:val="1A171B"/>
        </w:rPr>
        <w:t>е</w:t>
      </w:r>
      <w:r w:rsidR="009A5A38" w:rsidRPr="005C2933">
        <w:rPr>
          <w:color w:val="1A171B"/>
        </w:rPr>
        <w:t xml:space="preserve"> сферы занятости за пределами постоянного места жительства. Поскольку уровень социальной защищенности трудовых мигрантов в значительной мере зависит от их правовой грамотности, целесообразно обеспечить трудовых мигрантов необходимыми административно-правовыми документами и нормами, регулирующими их трудовую деятельность.</w:t>
      </w:r>
    </w:p>
    <w:p w:rsidR="009A5A38" w:rsidRDefault="009A5A38" w:rsidP="009A5A38">
      <w:pPr>
        <w:spacing w:before="120"/>
        <w:jc w:val="both"/>
        <w:rPr>
          <w:color w:val="1A171B"/>
        </w:rPr>
      </w:pPr>
      <w:r w:rsidRPr="005C2933">
        <w:rPr>
          <w:color w:val="1A171B"/>
        </w:rPr>
        <w:t xml:space="preserve">Для содействия внутренним мигрантам необходимо совершенствовать деятельности бюро организации временных работ, путем увеличения их числа, создания при них условий для социально-бытового обслуживания мардикеров, частичного перевода их на коммерческую основу. Важно упростить порядок регистрации и временной прописки внутренних трудовых мигрантов. Эта проблема особенно актуальна </w:t>
      </w:r>
      <w:r w:rsidR="001B3C16">
        <w:rPr>
          <w:color w:val="1A171B"/>
        </w:rPr>
        <w:t>для</w:t>
      </w:r>
      <w:r w:rsidRPr="005C2933">
        <w:rPr>
          <w:color w:val="1A171B"/>
        </w:rPr>
        <w:t xml:space="preserve"> Ташкент</w:t>
      </w:r>
      <w:r w:rsidR="001B3C16">
        <w:rPr>
          <w:color w:val="1A171B"/>
        </w:rPr>
        <w:t>а и Ташкентской области</w:t>
      </w:r>
      <w:r w:rsidRPr="005C2933">
        <w:rPr>
          <w:color w:val="1A171B"/>
        </w:rPr>
        <w:t xml:space="preserve">, где поддерживается более жесткий режим прописки. В связи с этим на рынках труда </w:t>
      </w:r>
      <w:r w:rsidR="001B3C16">
        <w:rPr>
          <w:color w:val="1A171B"/>
        </w:rPr>
        <w:t xml:space="preserve">данных регионов </w:t>
      </w:r>
      <w:r w:rsidRPr="005C2933">
        <w:rPr>
          <w:color w:val="1A171B"/>
        </w:rPr>
        <w:t xml:space="preserve">накапливаются нелегальные трудовые мигранты – граждане республики, не имеющие прописки, и, соответственно, и права на работу. По материалам </w:t>
      </w:r>
      <w:r w:rsidR="0028540B">
        <w:rPr>
          <w:color w:val="1A171B"/>
        </w:rPr>
        <w:t>социологического опроса</w:t>
      </w:r>
      <w:r w:rsidRPr="005C2933">
        <w:rPr>
          <w:color w:val="1A171B"/>
        </w:rPr>
        <w:t>, на неформальном рынке труда столицы для 66,1% мужчин и 43,5% женщин получение регистрации или временной прописки представляется практически неразрешимой проблемой.</w:t>
      </w:r>
    </w:p>
    <w:p w:rsidR="009A5A38" w:rsidRDefault="009A5A38" w:rsidP="009A5A38">
      <w:pPr>
        <w:spacing w:before="120"/>
        <w:jc w:val="both"/>
        <w:rPr>
          <w:color w:val="1A171B"/>
        </w:rPr>
      </w:pPr>
      <w:r w:rsidRPr="005C2933">
        <w:t>Для решения проблем внешних мигрантов необходим</w:t>
      </w:r>
      <w:r w:rsidR="00D77938">
        <w:t>ы</w:t>
      </w:r>
      <w:r w:rsidRPr="005C2933">
        <w:t xml:space="preserve"> подписание </w:t>
      </w:r>
      <w:r w:rsidRPr="005C2933">
        <w:rPr>
          <w:color w:val="1A171B"/>
        </w:rPr>
        <w:t xml:space="preserve">соответствующих межгосударственных соглашений и лоббирование интересов граждан Узбекистана, находящихся за рубежом. </w:t>
      </w:r>
      <w:r w:rsidR="00D77938">
        <w:rPr>
          <w:color w:val="1A171B"/>
        </w:rPr>
        <w:t>Очень важно</w:t>
      </w:r>
      <w:r w:rsidRPr="005C2933">
        <w:rPr>
          <w:color w:val="1A171B"/>
        </w:rPr>
        <w:t xml:space="preserve"> продвигать предложения по увеличению квот для мигрантов из Узбекистана, упрощению процедуры их регистрации, предостав</w:t>
      </w:r>
      <w:r w:rsidRPr="00B937E0">
        <w:rPr>
          <w:color w:val="1A171B"/>
        </w:rPr>
        <w:t xml:space="preserve">ления им содействия местных органов власти за рубежом в обеспечении жильем и защиты их прав. </w:t>
      </w:r>
    </w:p>
    <w:p w:rsidR="007F1898" w:rsidRDefault="007F1898" w:rsidP="008A3708">
      <w:pPr>
        <w:spacing w:before="120"/>
        <w:jc w:val="both"/>
        <w:rPr>
          <w:b/>
        </w:rPr>
      </w:pPr>
      <w:r>
        <w:rPr>
          <w:b/>
        </w:rPr>
        <w:br w:type="page"/>
      </w:r>
    </w:p>
    <w:p w:rsidR="00551C75" w:rsidRPr="00E531C7" w:rsidRDefault="00551C75" w:rsidP="00551C75">
      <w:pPr>
        <w:spacing w:before="120"/>
        <w:jc w:val="center"/>
        <w:rPr>
          <w:b/>
          <w:sz w:val="28"/>
          <w:szCs w:val="28"/>
        </w:rPr>
      </w:pPr>
      <w:r w:rsidRPr="00E531C7">
        <w:rPr>
          <w:b/>
          <w:sz w:val="28"/>
          <w:szCs w:val="28"/>
        </w:rPr>
        <w:lastRenderedPageBreak/>
        <w:t xml:space="preserve">2.2. </w:t>
      </w:r>
      <w:r w:rsidR="00CA14FF" w:rsidRPr="00E531C7">
        <w:rPr>
          <w:b/>
          <w:sz w:val="28"/>
          <w:szCs w:val="28"/>
        </w:rPr>
        <w:t>О</w:t>
      </w:r>
      <w:r w:rsidRPr="00E531C7">
        <w:rPr>
          <w:b/>
          <w:sz w:val="28"/>
          <w:szCs w:val="28"/>
        </w:rPr>
        <w:t xml:space="preserve">траслевая структура </w:t>
      </w:r>
      <w:r w:rsidR="007A374D" w:rsidRPr="00E531C7">
        <w:rPr>
          <w:b/>
          <w:sz w:val="28"/>
          <w:szCs w:val="28"/>
        </w:rPr>
        <w:t>экономики</w:t>
      </w:r>
    </w:p>
    <w:p w:rsidR="00F80C95" w:rsidRDefault="00F80C95" w:rsidP="00AF410B">
      <w:pPr>
        <w:spacing w:before="120"/>
        <w:jc w:val="both"/>
      </w:pPr>
    </w:p>
    <w:p w:rsidR="00551C75" w:rsidRDefault="00F80C95" w:rsidP="00AF410B">
      <w:pPr>
        <w:spacing w:before="120"/>
        <w:jc w:val="both"/>
      </w:pPr>
      <w:r w:rsidRPr="00F80C95">
        <w:rPr>
          <w:b/>
        </w:rPr>
        <w:t>Отраслевая структура занятости</w:t>
      </w:r>
      <w:r>
        <w:t xml:space="preserve">. </w:t>
      </w:r>
      <w:r w:rsidR="00455FBA">
        <w:t xml:space="preserve">Уровень жизни населения регионов зависит не только от общего уровня занятости, но и от ее структуры. </w:t>
      </w:r>
      <w:r w:rsidR="007C124D">
        <w:t xml:space="preserve">Данные </w:t>
      </w:r>
      <w:r w:rsidR="007C124D" w:rsidRPr="001553EB">
        <w:rPr>
          <w:highlight w:val="yellow"/>
        </w:rPr>
        <w:t>Таблиц</w:t>
      </w:r>
      <w:r w:rsidR="007C124D">
        <w:rPr>
          <w:highlight w:val="yellow"/>
        </w:rPr>
        <w:t>ы</w:t>
      </w:r>
      <w:r w:rsidR="009C2FD5">
        <w:rPr>
          <w:highlight w:val="yellow"/>
        </w:rPr>
        <w:t xml:space="preserve"> 2.3</w:t>
      </w:r>
      <w:r w:rsidR="007C124D">
        <w:t xml:space="preserve"> и </w:t>
      </w:r>
      <w:r w:rsidR="007C124D" w:rsidRPr="001553EB">
        <w:rPr>
          <w:highlight w:val="yellow"/>
        </w:rPr>
        <w:t>Рисунк</w:t>
      </w:r>
      <w:r w:rsidR="007C124D">
        <w:rPr>
          <w:highlight w:val="yellow"/>
        </w:rPr>
        <w:t>а</w:t>
      </w:r>
      <w:r w:rsidR="007C124D" w:rsidRPr="001553EB">
        <w:rPr>
          <w:highlight w:val="yellow"/>
        </w:rPr>
        <w:t xml:space="preserve"> </w:t>
      </w:r>
      <w:r w:rsidR="009C2FD5">
        <w:rPr>
          <w:highlight w:val="yellow"/>
        </w:rPr>
        <w:t>2.8</w:t>
      </w:r>
      <w:r w:rsidR="007C124D">
        <w:t xml:space="preserve"> показывают долю занятых по основным отраслям экономики в общем числе занятых.</w:t>
      </w:r>
    </w:p>
    <w:p w:rsidR="007C124D" w:rsidRPr="001553EB" w:rsidRDefault="007C124D" w:rsidP="007C124D">
      <w:pPr>
        <w:spacing w:before="120"/>
        <w:jc w:val="both"/>
        <w:rPr>
          <w:b/>
        </w:rPr>
      </w:pPr>
      <w:r w:rsidRPr="001553EB">
        <w:rPr>
          <w:b/>
        </w:rPr>
        <w:t xml:space="preserve">Таблица </w:t>
      </w:r>
      <w:r w:rsidR="009C2FD5">
        <w:rPr>
          <w:b/>
        </w:rPr>
        <w:t>2.3</w:t>
      </w:r>
      <w:r w:rsidRPr="001553EB">
        <w:rPr>
          <w:b/>
        </w:rPr>
        <w:t xml:space="preserve">. Доля занятых в </w:t>
      </w:r>
      <w:r>
        <w:rPr>
          <w:b/>
        </w:rPr>
        <w:t>общем числе заняты</w:t>
      </w:r>
      <w:r w:rsidR="006B27DC">
        <w:rPr>
          <w:b/>
        </w:rPr>
        <w:t>х</w:t>
      </w:r>
      <w:r w:rsidRPr="001553EB">
        <w:rPr>
          <w:b/>
        </w:rPr>
        <w:t xml:space="preserve">, </w:t>
      </w:r>
      <w:r>
        <w:rPr>
          <w:b/>
        </w:rPr>
        <w:t xml:space="preserve">средние значения за 2004-2008 гг., </w:t>
      </w:r>
      <w:r w:rsidRPr="001553EB">
        <w:rPr>
          <w:b/>
        </w:rPr>
        <w:t>в %.</w:t>
      </w:r>
    </w:p>
    <w:tbl>
      <w:tblPr>
        <w:tblW w:w="9803" w:type="dxa"/>
        <w:tblInd w:w="-176" w:type="dxa"/>
        <w:tblLayout w:type="fixed"/>
        <w:tblLook w:val="04A0"/>
      </w:tblPr>
      <w:tblGrid>
        <w:gridCol w:w="2273"/>
        <w:gridCol w:w="846"/>
        <w:gridCol w:w="851"/>
        <w:gridCol w:w="850"/>
        <w:gridCol w:w="709"/>
        <w:gridCol w:w="992"/>
        <w:gridCol w:w="1134"/>
        <w:gridCol w:w="1418"/>
        <w:gridCol w:w="730"/>
      </w:tblGrid>
      <w:tr w:rsidR="007C124D" w:rsidTr="00746A3F">
        <w:trPr>
          <w:trHeight w:val="1198"/>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24D" w:rsidRDefault="007C124D">
            <w:pPr>
              <w:jc w:val="center"/>
              <w:rPr>
                <w:color w:val="000000"/>
                <w:sz w:val="20"/>
                <w:szCs w:val="20"/>
              </w:rPr>
            </w:pPr>
            <w:r>
              <w:rPr>
                <w:color w:val="000000"/>
                <w:sz w:val="20"/>
                <w:szCs w:val="20"/>
              </w:rPr>
              <w:t>Регион</w:t>
            </w:r>
          </w:p>
        </w:tc>
        <w:tc>
          <w:tcPr>
            <w:tcW w:w="846" w:type="dxa"/>
            <w:tcBorders>
              <w:top w:val="single" w:sz="4" w:space="0" w:color="auto"/>
              <w:left w:val="nil"/>
              <w:bottom w:val="single" w:sz="4" w:space="0" w:color="auto"/>
              <w:right w:val="single" w:sz="4" w:space="0" w:color="auto"/>
            </w:tcBorders>
            <w:shd w:val="clear" w:color="auto" w:fill="auto"/>
            <w:hideMark/>
          </w:tcPr>
          <w:p w:rsidR="007C124D" w:rsidRDefault="007C124D" w:rsidP="00D555F6">
            <w:pPr>
              <w:jc w:val="center"/>
              <w:rPr>
                <w:color w:val="000000"/>
                <w:sz w:val="20"/>
                <w:szCs w:val="20"/>
              </w:rPr>
            </w:pPr>
            <w:r>
              <w:rPr>
                <w:color w:val="000000"/>
                <w:sz w:val="20"/>
                <w:szCs w:val="20"/>
              </w:rPr>
              <w:t>Про</w:t>
            </w:r>
            <w:r w:rsidR="00486229">
              <w:rPr>
                <w:color w:val="000000"/>
                <w:sz w:val="20"/>
                <w:szCs w:val="20"/>
              </w:rPr>
              <w:t>-</w:t>
            </w:r>
            <w:r>
              <w:rPr>
                <w:color w:val="000000"/>
                <w:sz w:val="20"/>
                <w:szCs w:val="20"/>
              </w:rPr>
              <w:t>мы-шлен-ность</w:t>
            </w:r>
          </w:p>
        </w:tc>
        <w:tc>
          <w:tcPr>
            <w:tcW w:w="851" w:type="dxa"/>
            <w:tcBorders>
              <w:top w:val="single" w:sz="4" w:space="0" w:color="auto"/>
              <w:left w:val="nil"/>
              <w:bottom w:val="single" w:sz="4" w:space="0" w:color="auto"/>
              <w:right w:val="single" w:sz="4" w:space="0" w:color="auto"/>
            </w:tcBorders>
            <w:shd w:val="clear" w:color="auto" w:fill="auto"/>
            <w:hideMark/>
          </w:tcPr>
          <w:p w:rsidR="007C124D" w:rsidRDefault="007C124D" w:rsidP="00D555F6">
            <w:pPr>
              <w:jc w:val="center"/>
              <w:rPr>
                <w:color w:val="000000"/>
                <w:sz w:val="20"/>
                <w:szCs w:val="20"/>
              </w:rPr>
            </w:pPr>
            <w:r>
              <w:rPr>
                <w:color w:val="000000"/>
                <w:sz w:val="20"/>
                <w:szCs w:val="20"/>
              </w:rPr>
              <w:t>Сельс</w:t>
            </w:r>
            <w:r w:rsidR="00746A3F">
              <w:rPr>
                <w:color w:val="000000"/>
                <w:sz w:val="20"/>
                <w:szCs w:val="20"/>
              </w:rPr>
              <w:t>-</w:t>
            </w:r>
            <w:r>
              <w:rPr>
                <w:color w:val="000000"/>
                <w:sz w:val="20"/>
                <w:szCs w:val="20"/>
              </w:rPr>
              <w:t>кое и лесное хозяй</w:t>
            </w:r>
            <w:r w:rsidR="00746A3F">
              <w:rPr>
                <w:color w:val="000000"/>
                <w:sz w:val="20"/>
                <w:szCs w:val="20"/>
              </w:rPr>
              <w:t>-</w:t>
            </w:r>
            <w:r>
              <w:rPr>
                <w:color w:val="000000"/>
                <w:sz w:val="20"/>
                <w:szCs w:val="20"/>
              </w:rPr>
              <w:t>ство</w:t>
            </w:r>
          </w:p>
        </w:tc>
        <w:tc>
          <w:tcPr>
            <w:tcW w:w="850" w:type="dxa"/>
            <w:tcBorders>
              <w:top w:val="single" w:sz="4" w:space="0" w:color="auto"/>
              <w:left w:val="nil"/>
              <w:bottom w:val="single" w:sz="4" w:space="0" w:color="auto"/>
              <w:right w:val="single" w:sz="4" w:space="0" w:color="auto"/>
            </w:tcBorders>
            <w:shd w:val="clear" w:color="auto" w:fill="auto"/>
            <w:hideMark/>
          </w:tcPr>
          <w:p w:rsidR="007C124D" w:rsidRDefault="007C124D" w:rsidP="00D555F6">
            <w:pPr>
              <w:jc w:val="center"/>
              <w:rPr>
                <w:color w:val="000000"/>
                <w:sz w:val="20"/>
                <w:szCs w:val="20"/>
              </w:rPr>
            </w:pPr>
            <w:r>
              <w:rPr>
                <w:color w:val="000000"/>
                <w:sz w:val="20"/>
                <w:szCs w:val="20"/>
              </w:rPr>
              <w:t>Строи-тельс-тво</w:t>
            </w:r>
          </w:p>
        </w:tc>
        <w:tc>
          <w:tcPr>
            <w:tcW w:w="709" w:type="dxa"/>
            <w:tcBorders>
              <w:top w:val="single" w:sz="4" w:space="0" w:color="auto"/>
              <w:left w:val="nil"/>
              <w:bottom w:val="single" w:sz="4" w:space="0" w:color="auto"/>
              <w:right w:val="single" w:sz="4" w:space="0" w:color="auto"/>
            </w:tcBorders>
            <w:shd w:val="clear" w:color="auto" w:fill="auto"/>
            <w:hideMark/>
          </w:tcPr>
          <w:p w:rsidR="007C124D" w:rsidRDefault="007C124D" w:rsidP="00746A3F">
            <w:pPr>
              <w:jc w:val="center"/>
              <w:rPr>
                <w:color w:val="000000"/>
                <w:sz w:val="20"/>
                <w:szCs w:val="20"/>
              </w:rPr>
            </w:pPr>
            <w:r>
              <w:rPr>
                <w:color w:val="000000"/>
                <w:sz w:val="20"/>
                <w:szCs w:val="20"/>
              </w:rPr>
              <w:t>Тран</w:t>
            </w:r>
            <w:r w:rsidR="00746A3F">
              <w:rPr>
                <w:color w:val="000000"/>
                <w:sz w:val="20"/>
                <w:szCs w:val="20"/>
              </w:rPr>
              <w:t>-</w:t>
            </w:r>
            <w:r>
              <w:rPr>
                <w:color w:val="000000"/>
                <w:sz w:val="20"/>
                <w:szCs w:val="20"/>
              </w:rPr>
              <w:t>спорт и связь</w:t>
            </w:r>
          </w:p>
        </w:tc>
        <w:tc>
          <w:tcPr>
            <w:tcW w:w="992" w:type="dxa"/>
            <w:tcBorders>
              <w:top w:val="single" w:sz="4" w:space="0" w:color="auto"/>
              <w:left w:val="nil"/>
              <w:bottom w:val="single" w:sz="4" w:space="0" w:color="auto"/>
              <w:right w:val="single" w:sz="4" w:space="0" w:color="auto"/>
            </w:tcBorders>
            <w:shd w:val="clear" w:color="auto" w:fill="auto"/>
            <w:hideMark/>
          </w:tcPr>
          <w:p w:rsidR="007C124D" w:rsidRDefault="007C124D" w:rsidP="00746A3F">
            <w:pPr>
              <w:jc w:val="center"/>
              <w:rPr>
                <w:color w:val="000000"/>
                <w:sz w:val="20"/>
                <w:szCs w:val="20"/>
              </w:rPr>
            </w:pPr>
            <w:r>
              <w:rPr>
                <w:color w:val="000000"/>
                <w:sz w:val="20"/>
                <w:szCs w:val="20"/>
              </w:rPr>
              <w:t>Торгов</w:t>
            </w:r>
            <w:r w:rsidR="00746A3F">
              <w:rPr>
                <w:color w:val="000000"/>
                <w:sz w:val="20"/>
                <w:szCs w:val="20"/>
              </w:rPr>
              <w:t>-</w:t>
            </w:r>
            <w:r>
              <w:rPr>
                <w:color w:val="000000"/>
                <w:sz w:val="20"/>
                <w:szCs w:val="20"/>
              </w:rPr>
              <w:t>ля и общест</w:t>
            </w:r>
            <w:r w:rsidR="00746A3F">
              <w:rPr>
                <w:color w:val="000000"/>
                <w:sz w:val="20"/>
                <w:szCs w:val="20"/>
              </w:rPr>
              <w:t>-</w:t>
            </w:r>
            <w:r>
              <w:rPr>
                <w:color w:val="000000"/>
                <w:sz w:val="20"/>
                <w:szCs w:val="20"/>
              </w:rPr>
              <w:t>венное питание</w:t>
            </w:r>
          </w:p>
        </w:tc>
        <w:tc>
          <w:tcPr>
            <w:tcW w:w="1134" w:type="dxa"/>
            <w:tcBorders>
              <w:top w:val="single" w:sz="4" w:space="0" w:color="auto"/>
              <w:left w:val="nil"/>
              <w:bottom w:val="single" w:sz="4" w:space="0" w:color="auto"/>
              <w:right w:val="single" w:sz="4" w:space="0" w:color="auto"/>
            </w:tcBorders>
            <w:shd w:val="clear" w:color="auto" w:fill="auto"/>
            <w:hideMark/>
          </w:tcPr>
          <w:p w:rsidR="007C124D" w:rsidRDefault="007C124D" w:rsidP="00746A3F">
            <w:pPr>
              <w:jc w:val="center"/>
              <w:rPr>
                <w:color w:val="000000"/>
                <w:sz w:val="20"/>
                <w:szCs w:val="20"/>
              </w:rPr>
            </w:pPr>
            <w:r>
              <w:rPr>
                <w:color w:val="000000"/>
                <w:sz w:val="20"/>
                <w:szCs w:val="20"/>
              </w:rPr>
              <w:t>Образова</w:t>
            </w:r>
            <w:r w:rsidR="00746A3F">
              <w:rPr>
                <w:color w:val="000000"/>
                <w:sz w:val="20"/>
                <w:szCs w:val="20"/>
              </w:rPr>
              <w:t>-</w:t>
            </w:r>
            <w:r>
              <w:rPr>
                <w:color w:val="000000"/>
                <w:sz w:val="20"/>
                <w:szCs w:val="20"/>
              </w:rPr>
              <w:t>ние, культура</w:t>
            </w:r>
            <w:r w:rsidR="00746A3F">
              <w:rPr>
                <w:color w:val="000000"/>
                <w:sz w:val="20"/>
                <w:szCs w:val="20"/>
              </w:rPr>
              <w:t>,</w:t>
            </w:r>
            <w:r>
              <w:rPr>
                <w:color w:val="000000"/>
                <w:sz w:val="20"/>
                <w:szCs w:val="20"/>
              </w:rPr>
              <w:t xml:space="preserve"> искусство</w:t>
            </w:r>
            <w:r w:rsidR="00746A3F">
              <w:rPr>
                <w:color w:val="000000"/>
                <w:sz w:val="20"/>
                <w:szCs w:val="20"/>
              </w:rPr>
              <w:t xml:space="preserve"> и</w:t>
            </w:r>
            <w:r>
              <w:rPr>
                <w:color w:val="000000"/>
                <w:sz w:val="20"/>
                <w:szCs w:val="20"/>
              </w:rPr>
              <w:t xml:space="preserve"> наука</w:t>
            </w:r>
          </w:p>
        </w:tc>
        <w:tc>
          <w:tcPr>
            <w:tcW w:w="1418" w:type="dxa"/>
            <w:tcBorders>
              <w:top w:val="single" w:sz="4" w:space="0" w:color="auto"/>
              <w:left w:val="nil"/>
              <w:bottom w:val="single" w:sz="4" w:space="0" w:color="auto"/>
              <w:right w:val="single" w:sz="4" w:space="0" w:color="auto"/>
            </w:tcBorders>
            <w:shd w:val="clear" w:color="auto" w:fill="auto"/>
            <w:hideMark/>
          </w:tcPr>
          <w:p w:rsidR="007C124D" w:rsidRDefault="007C124D" w:rsidP="00746A3F">
            <w:pPr>
              <w:jc w:val="center"/>
              <w:rPr>
                <w:color w:val="000000"/>
                <w:sz w:val="20"/>
                <w:szCs w:val="20"/>
              </w:rPr>
            </w:pPr>
            <w:r>
              <w:rPr>
                <w:color w:val="000000"/>
                <w:sz w:val="20"/>
                <w:szCs w:val="20"/>
              </w:rPr>
              <w:t>Здравоохра</w:t>
            </w:r>
            <w:r w:rsidR="00746A3F">
              <w:rPr>
                <w:color w:val="000000"/>
                <w:sz w:val="20"/>
                <w:szCs w:val="20"/>
              </w:rPr>
              <w:t>-</w:t>
            </w:r>
            <w:r>
              <w:rPr>
                <w:color w:val="000000"/>
                <w:sz w:val="20"/>
                <w:szCs w:val="20"/>
              </w:rPr>
              <w:t>нение, физкультура, спорт и соц. обеспечение</w:t>
            </w:r>
          </w:p>
        </w:tc>
        <w:tc>
          <w:tcPr>
            <w:tcW w:w="730" w:type="dxa"/>
            <w:tcBorders>
              <w:top w:val="single" w:sz="4" w:space="0" w:color="auto"/>
              <w:left w:val="nil"/>
              <w:bottom w:val="single" w:sz="4" w:space="0" w:color="auto"/>
              <w:right w:val="single" w:sz="4" w:space="0" w:color="auto"/>
            </w:tcBorders>
            <w:shd w:val="clear" w:color="auto" w:fill="auto"/>
            <w:hideMark/>
          </w:tcPr>
          <w:p w:rsidR="007C124D" w:rsidRDefault="007C124D" w:rsidP="00D555F6">
            <w:pPr>
              <w:jc w:val="center"/>
              <w:rPr>
                <w:color w:val="000000"/>
                <w:sz w:val="20"/>
                <w:szCs w:val="20"/>
              </w:rPr>
            </w:pPr>
            <w:r>
              <w:rPr>
                <w:color w:val="000000"/>
                <w:sz w:val="20"/>
                <w:szCs w:val="20"/>
              </w:rPr>
              <w:t>Про</w:t>
            </w:r>
            <w:r w:rsidR="00486229">
              <w:rPr>
                <w:color w:val="000000"/>
                <w:sz w:val="20"/>
                <w:szCs w:val="20"/>
              </w:rPr>
              <w:t>-</w:t>
            </w:r>
            <w:r>
              <w:rPr>
                <w:color w:val="000000"/>
                <w:sz w:val="20"/>
                <w:szCs w:val="20"/>
              </w:rPr>
              <w:t>чие от</w:t>
            </w:r>
            <w:r w:rsidR="00486229">
              <w:rPr>
                <w:color w:val="000000"/>
                <w:sz w:val="20"/>
                <w:szCs w:val="20"/>
              </w:rPr>
              <w:t>-</w:t>
            </w:r>
            <w:r>
              <w:rPr>
                <w:color w:val="000000"/>
                <w:sz w:val="20"/>
                <w:szCs w:val="20"/>
              </w:rPr>
              <w:t>расли</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Город Ташкент</w:t>
            </w:r>
          </w:p>
        </w:tc>
        <w:tc>
          <w:tcPr>
            <w:tcW w:w="846"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22,3%</w:t>
            </w:r>
          </w:p>
        </w:tc>
        <w:tc>
          <w:tcPr>
            <w:tcW w:w="851"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0,4%</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13,9%</w:t>
            </w:r>
          </w:p>
        </w:tc>
        <w:tc>
          <w:tcPr>
            <w:tcW w:w="709"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10,4%</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13,2%</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14,9%</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8,0%</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16,9%</w:t>
            </w:r>
          </w:p>
        </w:tc>
      </w:tr>
      <w:tr w:rsidR="007C124D" w:rsidTr="00746A3F">
        <w:trPr>
          <w:trHeight w:val="120"/>
        </w:trPr>
        <w:tc>
          <w:tcPr>
            <w:tcW w:w="9803" w:type="dxa"/>
            <w:gridSpan w:val="9"/>
            <w:tcBorders>
              <w:top w:val="nil"/>
              <w:left w:val="single" w:sz="4" w:space="0" w:color="auto"/>
              <w:bottom w:val="single" w:sz="4" w:space="0" w:color="auto"/>
              <w:right w:val="single" w:sz="4" w:space="0" w:color="auto"/>
            </w:tcBorders>
            <w:shd w:val="clear" w:color="000000" w:fill="92D050"/>
            <w:noWrap/>
            <w:vAlign w:val="bottom"/>
            <w:hideMark/>
          </w:tcPr>
          <w:p w:rsidR="007C124D" w:rsidRPr="007F1898" w:rsidRDefault="007C124D" w:rsidP="007C124D">
            <w:pPr>
              <w:rPr>
                <w:color w:val="000000"/>
                <w:sz w:val="18"/>
                <w:szCs w:val="18"/>
              </w:rPr>
            </w:pPr>
            <w:r w:rsidRPr="007F1898">
              <w:rPr>
                <w:color w:val="000000"/>
                <w:sz w:val="18"/>
                <w:szCs w:val="18"/>
              </w:rPr>
              <w:t>Регионы с высоким уровнем ЭИЧР</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Навоийская область</w:t>
            </w:r>
          </w:p>
        </w:tc>
        <w:tc>
          <w:tcPr>
            <w:tcW w:w="846"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26,0%</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24,8%</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11,2%</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3,4%</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8,0%</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12,4%</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7,0%</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7,1%</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Ташкентская область</w:t>
            </w:r>
          </w:p>
        </w:tc>
        <w:tc>
          <w:tcPr>
            <w:tcW w:w="846"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19,8%</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28,7%</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4,5%</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8,3%</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12,4%</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6,9%</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12,5%</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Андижанская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13,1%</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33,9%</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3,7%</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9,3%</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6,9%</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14,5%</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Бухарская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10,3%</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34,3%</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5,1%</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9,0%</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12,4%</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6,7%</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12,8%</w:t>
            </w:r>
          </w:p>
        </w:tc>
      </w:tr>
      <w:tr w:rsidR="007C124D" w:rsidTr="00746A3F">
        <w:trPr>
          <w:trHeight w:val="128"/>
        </w:trPr>
        <w:tc>
          <w:tcPr>
            <w:tcW w:w="9803" w:type="dxa"/>
            <w:gridSpan w:val="9"/>
            <w:tcBorders>
              <w:top w:val="nil"/>
              <w:left w:val="single" w:sz="4" w:space="0" w:color="auto"/>
              <w:bottom w:val="single" w:sz="4" w:space="0" w:color="auto"/>
              <w:right w:val="single" w:sz="4" w:space="0" w:color="auto"/>
            </w:tcBorders>
            <w:shd w:val="clear" w:color="000000" w:fill="92D050"/>
            <w:noWrap/>
            <w:vAlign w:val="bottom"/>
            <w:hideMark/>
          </w:tcPr>
          <w:p w:rsidR="007C124D" w:rsidRPr="007F1898" w:rsidRDefault="007C124D" w:rsidP="007C124D">
            <w:pPr>
              <w:rPr>
                <w:color w:val="000000"/>
                <w:sz w:val="18"/>
                <w:szCs w:val="18"/>
              </w:rPr>
            </w:pPr>
            <w:r w:rsidRPr="007F1898">
              <w:rPr>
                <w:color w:val="000000"/>
                <w:sz w:val="18"/>
                <w:szCs w:val="18"/>
              </w:rPr>
              <w:t>Регионы со средним уровнем ЭИЧР </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Ферганская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14,4%</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28,5%</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4,0%</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7,9%</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12,5%</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7,2%</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19,4%</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Хорезмская область</w:t>
            </w:r>
          </w:p>
        </w:tc>
        <w:tc>
          <w:tcPr>
            <w:tcW w:w="846"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8,1%</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37,2%</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9,7%</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3,7%</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9,3%</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6,3%</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11,3%</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Самаркандская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10,5%</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31,6%</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5,7%</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4,2%</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9,7%</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15,2%</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7,8%</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15,2%</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Наманганская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13,2%</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29,3%</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7,4%</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3,4%</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10,2%</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13,6%</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8,4%</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14,5%</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rsidP="007C124D">
            <w:pPr>
              <w:rPr>
                <w:color w:val="000000"/>
                <w:sz w:val="20"/>
                <w:szCs w:val="20"/>
              </w:rPr>
            </w:pPr>
            <w:r>
              <w:rPr>
                <w:color w:val="000000"/>
                <w:sz w:val="20"/>
                <w:szCs w:val="20"/>
              </w:rPr>
              <w:t>Сурхандарьинская обл.</w:t>
            </w:r>
          </w:p>
        </w:tc>
        <w:tc>
          <w:tcPr>
            <w:tcW w:w="846"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6,1%</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40,9%</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7,3%</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3,2%</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8,3%</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12,1%</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6,6%</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15,5%</w:t>
            </w:r>
          </w:p>
        </w:tc>
      </w:tr>
      <w:tr w:rsidR="007C124D" w:rsidTr="00746A3F">
        <w:trPr>
          <w:trHeight w:val="152"/>
        </w:trPr>
        <w:tc>
          <w:tcPr>
            <w:tcW w:w="9803" w:type="dxa"/>
            <w:gridSpan w:val="9"/>
            <w:tcBorders>
              <w:top w:val="nil"/>
              <w:left w:val="single" w:sz="4" w:space="0" w:color="auto"/>
              <w:bottom w:val="single" w:sz="4" w:space="0" w:color="auto"/>
              <w:right w:val="single" w:sz="4" w:space="0" w:color="auto"/>
            </w:tcBorders>
            <w:shd w:val="clear" w:color="000000" w:fill="92D050"/>
            <w:noWrap/>
            <w:vAlign w:val="bottom"/>
            <w:hideMark/>
          </w:tcPr>
          <w:p w:rsidR="007C124D" w:rsidRPr="007F1898" w:rsidRDefault="007C124D" w:rsidP="007C124D">
            <w:pPr>
              <w:rPr>
                <w:color w:val="000000"/>
                <w:sz w:val="18"/>
                <w:szCs w:val="18"/>
              </w:rPr>
            </w:pPr>
            <w:r w:rsidRPr="007F1898">
              <w:rPr>
                <w:color w:val="000000"/>
                <w:sz w:val="18"/>
                <w:szCs w:val="18"/>
              </w:rPr>
              <w:t>Регионы с низким уровнем ЭИЧР</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Сырдарьинская область</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9,5%</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33,1%</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6,9%</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5,8%</w:t>
            </w:r>
          </w:p>
        </w:tc>
        <w:tc>
          <w:tcPr>
            <w:tcW w:w="992"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7,5%</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13,4%</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8,1%</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15,8%</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rsidP="007C124D">
            <w:pPr>
              <w:rPr>
                <w:color w:val="000000"/>
                <w:sz w:val="20"/>
                <w:szCs w:val="20"/>
              </w:rPr>
            </w:pPr>
            <w:r>
              <w:rPr>
                <w:color w:val="000000"/>
                <w:sz w:val="20"/>
                <w:szCs w:val="20"/>
              </w:rPr>
              <w:t>Кашкадарьинская обл.</w:t>
            </w:r>
          </w:p>
        </w:tc>
        <w:tc>
          <w:tcPr>
            <w:tcW w:w="846"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7,8%</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29,6%</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11,5%</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4,8%</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11,0%</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13,7%</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7,6%</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14,0%</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pPr>
              <w:rPr>
                <w:color w:val="000000"/>
                <w:sz w:val="20"/>
                <w:szCs w:val="20"/>
              </w:rPr>
            </w:pPr>
            <w:r>
              <w:rPr>
                <w:color w:val="000000"/>
                <w:sz w:val="20"/>
                <w:szCs w:val="20"/>
              </w:rPr>
              <w:t>Джизакская область</w:t>
            </w:r>
          </w:p>
        </w:tc>
        <w:tc>
          <w:tcPr>
            <w:tcW w:w="846"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7,8%</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37,4%</w:t>
            </w:r>
          </w:p>
        </w:tc>
        <w:tc>
          <w:tcPr>
            <w:tcW w:w="85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6,7%</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3,7%</w:t>
            </w:r>
          </w:p>
        </w:tc>
        <w:tc>
          <w:tcPr>
            <w:tcW w:w="992"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7,4%</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16,2%</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6,7%</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14,2%</w:t>
            </w:r>
          </w:p>
        </w:tc>
      </w:tr>
      <w:tr w:rsidR="007C124D" w:rsidTr="00746A3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7C124D" w:rsidRDefault="007C124D" w:rsidP="007C124D">
            <w:pPr>
              <w:rPr>
                <w:color w:val="000000"/>
                <w:sz w:val="20"/>
                <w:szCs w:val="20"/>
              </w:rPr>
            </w:pPr>
            <w:r>
              <w:rPr>
                <w:color w:val="000000"/>
                <w:sz w:val="20"/>
                <w:szCs w:val="20"/>
              </w:rPr>
              <w:t>Респ. Каракалпакстан</w:t>
            </w:r>
          </w:p>
        </w:tc>
        <w:tc>
          <w:tcPr>
            <w:tcW w:w="846"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9,1%</w:t>
            </w:r>
          </w:p>
        </w:tc>
        <w:tc>
          <w:tcPr>
            <w:tcW w:w="851" w:type="dxa"/>
            <w:tcBorders>
              <w:top w:val="nil"/>
              <w:left w:val="nil"/>
              <w:bottom w:val="single" w:sz="4" w:space="0" w:color="auto"/>
              <w:right w:val="single" w:sz="4" w:space="0" w:color="auto"/>
            </w:tcBorders>
            <w:shd w:val="clear" w:color="000000" w:fill="FFC000"/>
            <w:noWrap/>
            <w:vAlign w:val="bottom"/>
            <w:hideMark/>
          </w:tcPr>
          <w:p w:rsidR="007C124D" w:rsidRPr="007F1898" w:rsidRDefault="007C124D">
            <w:pPr>
              <w:jc w:val="center"/>
              <w:rPr>
                <w:color w:val="000000"/>
                <w:sz w:val="18"/>
                <w:szCs w:val="18"/>
              </w:rPr>
            </w:pPr>
            <w:r w:rsidRPr="007F1898">
              <w:rPr>
                <w:color w:val="000000"/>
                <w:sz w:val="18"/>
                <w:szCs w:val="18"/>
              </w:rPr>
              <w:t>32,9%</w:t>
            </w:r>
          </w:p>
        </w:tc>
        <w:tc>
          <w:tcPr>
            <w:tcW w:w="850"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5,3%</w:t>
            </w:r>
          </w:p>
        </w:tc>
        <w:tc>
          <w:tcPr>
            <w:tcW w:w="992"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8,6%</w:t>
            </w:r>
          </w:p>
        </w:tc>
        <w:tc>
          <w:tcPr>
            <w:tcW w:w="1134" w:type="dxa"/>
            <w:tcBorders>
              <w:top w:val="nil"/>
              <w:left w:val="nil"/>
              <w:bottom w:val="single" w:sz="4" w:space="0" w:color="auto"/>
              <w:right w:val="single" w:sz="4" w:space="0" w:color="auto"/>
            </w:tcBorders>
            <w:shd w:val="clear" w:color="000000" w:fill="FFFF00"/>
            <w:noWrap/>
            <w:vAlign w:val="bottom"/>
            <w:hideMark/>
          </w:tcPr>
          <w:p w:rsidR="007C124D" w:rsidRPr="007F1898" w:rsidRDefault="007C124D">
            <w:pPr>
              <w:jc w:val="center"/>
              <w:rPr>
                <w:color w:val="000000"/>
                <w:sz w:val="18"/>
                <w:szCs w:val="18"/>
              </w:rPr>
            </w:pPr>
            <w:r w:rsidRPr="007F1898">
              <w:rPr>
                <w:color w:val="000000"/>
                <w:sz w:val="18"/>
                <w:szCs w:val="18"/>
              </w:rPr>
              <w:t>17,7%</w:t>
            </w:r>
          </w:p>
        </w:tc>
        <w:tc>
          <w:tcPr>
            <w:tcW w:w="1418"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7,9%</w:t>
            </w:r>
          </w:p>
        </w:tc>
        <w:tc>
          <w:tcPr>
            <w:tcW w:w="730" w:type="dxa"/>
            <w:tcBorders>
              <w:top w:val="nil"/>
              <w:left w:val="nil"/>
              <w:bottom w:val="single" w:sz="4" w:space="0" w:color="auto"/>
              <w:right w:val="single" w:sz="4" w:space="0" w:color="auto"/>
            </w:tcBorders>
            <w:shd w:val="clear" w:color="auto" w:fill="auto"/>
            <w:noWrap/>
            <w:vAlign w:val="bottom"/>
            <w:hideMark/>
          </w:tcPr>
          <w:p w:rsidR="007C124D" w:rsidRPr="007F1898" w:rsidRDefault="007C124D">
            <w:pPr>
              <w:jc w:val="center"/>
              <w:rPr>
                <w:color w:val="000000"/>
                <w:sz w:val="18"/>
                <w:szCs w:val="18"/>
              </w:rPr>
            </w:pPr>
            <w:r w:rsidRPr="007F1898">
              <w:rPr>
                <w:color w:val="000000"/>
                <w:sz w:val="18"/>
                <w:szCs w:val="18"/>
              </w:rPr>
              <w:t>9,3%</w:t>
            </w:r>
          </w:p>
        </w:tc>
      </w:tr>
    </w:tbl>
    <w:p w:rsidR="00746A3F" w:rsidRDefault="00746A3F" w:rsidP="00746A3F">
      <w:pPr>
        <w:spacing w:before="120"/>
        <w:jc w:val="both"/>
      </w:pPr>
      <w:r>
        <w:t>Мы видим, что в регионах с более высоким уровнем жизни существенно выше доля занятых в промышленности. Если исключить из группы регионов с высоким ЭИЧР Ташкент, доля занятых в строительстве, транспорте и связи во всех группах регионов примерно одинакова. Зато в регионах с низким уровнем ЭИЧР выше доля отраслей с относительно низкими доходами занятых: сельское хозяйство, образование, культура и наука, здравоохранение, спорт и социальное обеспечение</w:t>
      </w:r>
      <w:r>
        <w:rPr>
          <w:rStyle w:val="a5"/>
        </w:rPr>
        <w:footnoteReference w:id="17"/>
      </w:r>
      <w:r>
        <w:t xml:space="preserve">. </w:t>
      </w:r>
    </w:p>
    <w:p w:rsidR="00746A3F" w:rsidRDefault="00746A3F" w:rsidP="00746A3F">
      <w:pPr>
        <w:spacing w:before="120"/>
        <w:jc w:val="both"/>
      </w:pPr>
      <w:r>
        <w:t xml:space="preserve">Таким образом, мы можем сделать вывод, что </w:t>
      </w:r>
      <w:r w:rsidRPr="00D41ECD">
        <w:rPr>
          <w:b/>
          <w:i/>
        </w:rPr>
        <w:t>ключевое различие между регионами с высоким и низким ЭИЧР лежит</w:t>
      </w:r>
      <w:r>
        <w:rPr>
          <w:b/>
          <w:i/>
        </w:rPr>
        <w:t>,</w:t>
      </w:r>
      <w:r w:rsidRPr="00D41ECD">
        <w:rPr>
          <w:b/>
          <w:i/>
        </w:rPr>
        <w:t xml:space="preserve"> </w:t>
      </w:r>
      <w:r>
        <w:rPr>
          <w:b/>
          <w:i/>
        </w:rPr>
        <w:t xml:space="preserve">прежде всего, </w:t>
      </w:r>
      <w:r w:rsidRPr="00D41ECD">
        <w:rPr>
          <w:b/>
          <w:i/>
        </w:rPr>
        <w:t>в доле занятых в промышленности</w:t>
      </w:r>
      <w:r>
        <w:t xml:space="preserve">. Именно </w:t>
      </w:r>
      <w:r w:rsidRPr="00D41ECD">
        <w:rPr>
          <w:b/>
          <w:i/>
        </w:rPr>
        <w:t>промышленность позволяет генерировать регионам более высокие доходы</w:t>
      </w:r>
      <w:r>
        <w:t xml:space="preserve">. Основное исключение представляет Ташкент, который специализируется не только в промышленности, но и в </w:t>
      </w:r>
      <w:r w:rsidRPr="00F22706">
        <w:rPr>
          <w:i/>
        </w:rPr>
        <w:t>строительстве, транспорте, связи и предоставлении других платных услуг</w:t>
      </w:r>
      <w:r>
        <w:t xml:space="preserve">. Именно эти отрасли экономики позволяют жителям столицы получать </w:t>
      </w:r>
      <w:r w:rsidR="002C6920">
        <w:t>самые</w:t>
      </w:r>
      <w:r>
        <w:t xml:space="preserve"> высокие доходы</w:t>
      </w:r>
      <w:r w:rsidR="002C6920">
        <w:t xml:space="preserve"> по республике</w:t>
      </w:r>
      <w:r>
        <w:t>.</w:t>
      </w:r>
    </w:p>
    <w:p w:rsidR="00746A3F" w:rsidRDefault="00746A3F" w:rsidP="00746A3F">
      <w:pPr>
        <w:spacing w:before="120"/>
        <w:jc w:val="both"/>
      </w:pPr>
      <w:r>
        <w:t xml:space="preserve">Отметим также, что промышленность играет значительную роль не только в генерации доходов, но и в обеспечении экономического роста. Данные </w:t>
      </w:r>
      <w:r w:rsidRPr="00095790">
        <w:rPr>
          <w:highlight w:val="yellow"/>
        </w:rPr>
        <w:t xml:space="preserve">Рисунка </w:t>
      </w:r>
      <w:r w:rsidR="009C2FD5">
        <w:rPr>
          <w:highlight w:val="yellow"/>
        </w:rPr>
        <w:t>2.9</w:t>
      </w:r>
      <w:r>
        <w:t xml:space="preserve"> показывают, что </w:t>
      </w:r>
      <w:r>
        <w:lastRenderedPageBreak/>
        <w:t>экономики регионов с большей долей промышленности в ВРП растут быстрее экономик с меньшей долей промышленности в ВРП</w:t>
      </w:r>
      <w:r w:rsidR="00BE1B5D">
        <w:t xml:space="preserve"> (темпы экономического роста за 1998-2008 гг.)</w:t>
      </w:r>
      <w:r>
        <w:t xml:space="preserve">. </w:t>
      </w:r>
    </w:p>
    <w:p w:rsidR="00455FBA" w:rsidRPr="003C45A7" w:rsidRDefault="00455FBA" w:rsidP="00455FBA">
      <w:pPr>
        <w:spacing w:before="120"/>
        <w:jc w:val="both"/>
        <w:rPr>
          <w:b/>
        </w:rPr>
      </w:pPr>
      <w:r w:rsidRPr="003C45A7">
        <w:rPr>
          <w:b/>
        </w:rPr>
        <w:t xml:space="preserve">Рисунок </w:t>
      </w:r>
      <w:r w:rsidR="009C2FD5">
        <w:rPr>
          <w:b/>
        </w:rPr>
        <w:t>2</w:t>
      </w:r>
      <w:r w:rsidRPr="003C45A7">
        <w:rPr>
          <w:b/>
        </w:rPr>
        <w:t>.</w:t>
      </w:r>
      <w:r w:rsidR="009C2FD5">
        <w:rPr>
          <w:b/>
        </w:rPr>
        <w:t>8.</w:t>
      </w:r>
      <w:r w:rsidRPr="003C45A7">
        <w:rPr>
          <w:b/>
        </w:rPr>
        <w:t xml:space="preserve"> Доля занятых в </w:t>
      </w:r>
      <w:r w:rsidR="007C124D">
        <w:rPr>
          <w:b/>
        </w:rPr>
        <w:t>общем числе занятых</w:t>
      </w:r>
      <w:r w:rsidRPr="003C45A7">
        <w:rPr>
          <w:b/>
        </w:rPr>
        <w:t xml:space="preserve">, </w:t>
      </w:r>
      <w:r>
        <w:rPr>
          <w:b/>
        </w:rPr>
        <w:t xml:space="preserve">средние значения за 2004-2008 гг., </w:t>
      </w:r>
      <w:r w:rsidRPr="003C45A7">
        <w:rPr>
          <w:b/>
        </w:rPr>
        <w:t>в %.</w:t>
      </w:r>
    </w:p>
    <w:p w:rsidR="00455FBA" w:rsidRDefault="00533D49" w:rsidP="00455FBA">
      <w:pPr>
        <w:spacing w:before="120"/>
        <w:jc w:val="center"/>
      </w:pPr>
      <w:r w:rsidRPr="00533D49">
        <w:rPr>
          <w:noProof/>
        </w:rPr>
        <w:drawing>
          <wp:inline distT="0" distB="0" distL="0" distR="0">
            <wp:extent cx="5229225" cy="3381375"/>
            <wp:effectExtent l="19050" t="0" r="9525" b="0"/>
            <wp:docPr id="3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1E53" w:rsidRDefault="003B1E53" w:rsidP="003B1E53">
      <w:pPr>
        <w:pStyle w:val="af6"/>
        <w:spacing w:before="120"/>
        <w:jc w:val="both"/>
        <w:rPr>
          <w:szCs w:val="24"/>
        </w:rPr>
      </w:pPr>
      <w:r w:rsidRPr="00BC616F">
        <w:rPr>
          <w:b/>
          <w:szCs w:val="24"/>
        </w:rPr>
        <w:t xml:space="preserve">Рисунок </w:t>
      </w:r>
      <w:r w:rsidR="00095790">
        <w:rPr>
          <w:b/>
          <w:szCs w:val="24"/>
        </w:rPr>
        <w:t>2</w:t>
      </w:r>
      <w:r w:rsidRPr="00BC616F">
        <w:rPr>
          <w:b/>
          <w:szCs w:val="24"/>
        </w:rPr>
        <w:t>.</w:t>
      </w:r>
      <w:r w:rsidR="009C2FD5">
        <w:rPr>
          <w:b/>
          <w:szCs w:val="24"/>
        </w:rPr>
        <w:t>9.</w:t>
      </w:r>
      <w:r w:rsidRPr="00BC616F">
        <w:rPr>
          <w:b/>
          <w:szCs w:val="24"/>
        </w:rPr>
        <w:t xml:space="preserve"> </w:t>
      </w:r>
      <w:r w:rsidRPr="00E84A31">
        <w:rPr>
          <w:b/>
          <w:szCs w:val="24"/>
        </w:rPr>
        <w:t>Доля промышленности в ВРП в 200</w:t>
      </w:r>
      <w:r w:rsidR="00095790">
        <w:rPr>
          <w:b/>
          <w:szCs w:val="24"/>
        </w:rPr>
        <w:t>4</w:t>
      </w:r>
      <w:r w:rsidRPr="00E84A31">
        <w:rPr>
          <w:b/>
          <w:szCs w:val="24"/>
        </w:rPr>
        <w:t xml:space="preserve"> г.</w:t>
      </w:r>
    </w:p>
    <w:p w:rsidR="003B1E53" w:rsidRDefault="00095790" w:rsidP="003B1E53">
      <w:pPr>
        <w:spacing w:before="120"/>
        <w:jc w:val="center"/>
      </w:pPr>
      <w:r w:rsidRPr="00095790">
        <w:rPr>
          <w:noProof/>
        </w:rPr>
        <w:drawing>
          <wp:inline distT="0" distB="0" distL="0" distR="0">
            <wp:extent cx="4572000" cy="2743200"/>
            <wp:effectExtent l="19050" t="0" r="19050" b="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25E7" w:rsidRPr="00F80C95" w:rsidRDefault="00F80C95" w:rsidP="00C825E7">
      <w:pPr>
        <w:spacing w:before="120"/>
        <w:jc w:val="both"/>
      </w:pPr>
      <w:r w:rsidRPr="00F80C95">
        <w:rPr>
          <w:b/>
        </w:rPr>
        <w:t>Промышленная специализация регионов</w:t>
      </w:r>
      <w:r>
        <w:t xml:space="preserve">. </w:t>
      </w:r>
      <w:r w:rsidR="00C825E7">
        <w:t>В связи с особой ролью промышленности в генерации относительно высоких доходов</w:t>
      </w:r>
      <w:r w:rsidR="00C825E7" w:rsidRPr="00F80C95">
        <w:t xml:space="preserve"> остановимся на специализации регионов в промышленном производстве. </w:t>
      </w:r>
    </w:p>
    <w:p w:rsidR="00455FBA" w:rsidRDefault="00455FBA" w:rsidP="00455FBA">
      <w:pPr>
        <w:spacing w:before="120"/>
        <w:jc w:val="both"/>
      </w:pPr>
      <w:r>
        <w:t xml:space="preserve">В </w:t>
      </w:r>
      <w:r w:rsidRPr="007E21FC">
        <w:rPr>
          <w:b/>
          <w:i/>
        </w:rPr>
        <w:t>регионах с высоким уровнем экономического индекса человеческого развития</w:t>
      </w:r>
      <w:r>
        <w:t xml:space="preserve"> производится существенно больше промышленной продукции на 1 занятого – см. </w:t>
      </w:r>
      <w:r w:rsidRPr="008C2DE6">
        <w:rPr>
          <w:highlight w:val="yellow"/>
        </w:rPr>
        <w:t xml:space="preserve">Таблицу </w:t>
      </w:r>
      <w:r w:rsidR="009C2FD5">
        <w:rPr>
          <w:highlight w:val="yellow"/>
        </w:rPr>
        <w:t>2.4</w:t>
      </w:r>
      <w:r>
        <w:t xml:space="preserve">. </w:t>
      </w:r>
      <w:r w:rsidR="004A6E00">
        <w:t xml:space="preserve">Имеются и </w:t>
      </w:r>
      <w:r w:rsidR="00DC2B69">
        <w:t>значимые</w:t>
      </w:r>
      <w:r>
        <w:t xml:space="preserve"> различия в отраслевой структуре промышленности. Учитывая особое положение Ташкента, проведем дальнейший анализ, рассматривая регионы с высоким уровнем ЭИЧР без столицы. </w:t>
      </w:r>
    </w:p>
    <w:p w:rsidR="00455FBA" w:rsidRDefault="00455FBA" w:rsidP="00455FBA">
      <w:pPr>
        <w:spacing w:before="120"/>
        <w:jc w:val="both"/>
      </w:pPr>
      <w:r w:rsidRPr="00FF07A1">
        <w:rPr>
          <w:b/>
        </w:rPr>
        <w:lastRenderedPageBreak/>
        <w:t xml:space="preserve">Таблица </w:t>
      </w:r>
      <w:r w:rsidR="007F1898">
        <w:rPr>
          <w:b/>
        </w:rPr>
        <w:t>2</w:t>
      </w:r>
      <w:r w:rsidRPr="00FF07A1">
        <w:rPr>
          <w:b/>
        </w:rPr>
        <w:t>.</w:t>
      </w:r>
      <w:r w:rsidR="009C2FD5">
        <w:rPr>
          <w:b/>
        </w:rPr>
        <w:t>4.</w:t>
      </w:r>
      <w:r w:rsidRPr="00FF07A1">
        <w:rPr>
          <w:b/>
        </w:rPr>
        <w:t xml:space="preserve"> </w:t>
      </w:r>
      <w:r>
        <w:rPr>
          <w:b/>
        </w:rPr>
        <w:t>Промышленная продукция на одного занятого (во всех отраслях экономики)</w:t>
      </w:r>
      <w:r w:rsidRPr="00FF07A1">
        <w:rPr>
          <w:b/>
        </w:rPr>
        <w:t xml:space="preserve">, </w:t>
      </w:r>
      <w:r>
        <w:rPr>
          <w:b/>
        </w:rPr>
        <w:t xml:space="preserve">средние значения за 2004-2008 гг., </w:t>
      </w:r>
      <w:r w:rsidRPr="00FF07A1">
        <w:rPr>
          <w:b/>
        </w:rPr>
        <w:t xml:space="preserve">в тыс. </w:t>
      </w:r>
      <w:r>
        <w:rPr>
          <w:b/>
        </w:rPr>
        <w:t>сумм (в ценах 2005 г.)</w:t>
      </w:r>
      <w:r w:rsidR="005315D0">
        <w:rPr>
          <w:b/>
        </w:rPr>
        <w:t>.</w:t>
      </w:r>
    </w:p>
    <w:tbl>
      <w:tblPr>
        <w:tblW w:w="10206" w:type="dxa"/>
        <w:tblInd w:w="-459" w:type="dxa"/>
        <w:tblLook w:val="04A0"/>
      </w:tblPr>
      <w:tblGrid>
        <w:gridCol w:w="4536"/>
        <w:gridCol w:w="1126"/>
        <w:gridCol w:w="1134"/>
        <w:gridCol w:w="1001"/>
        <w:gridCol w:w="2409"/>
      </w:tblGrid>
      <w:tr w:rsidR="00455FBA" w:rsidRPr="008C2DE6" w:rsidTr="00746A3F">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BA" w:rsidRPr="008C2DE6" w:rsidRDefault="00455FBA" w:rsidP="007B2FF8">
            <w:pPr>
              <w:rPr>
                <w:color w:val="FFFFFF"/>
                <w:sz w:val="20"/>
                <w:szCs w:val="20"/>
              </w:rPr>
            </w:pPr>
            <w:r w:rsidRPr="008C2DE6">
              <w:rPr>
                <w:color w:val="FFFFFF"/>
                <w:sz w:val="20"/>
                <w:szCs w:val="20"/>
              </w:rPr>
              <w:t> </w:t>
            </w:r>
          </w:p>
        </w:tc>
        <w:tc>
          <w:tcPr>
            <w:tcW w:w="1126" w:type="dxa"/>
            <w:tcBorders>
              <w:top w:val="single" w:sz="4" w:space="0" w:color="auto"/>
              <w:left w:val="nil"/>
              <w:bottom w:val="single" w:sz="4" w:space="0" w:color="auto"/>
              <w:right w:val="single" w:sz="4" w:space="0" w:color="auto"/>
            </w:tcBorders>
            <w:shd w:val="clear" w:color="auto" w:fill="auto"/>
            <w:noWrap/>
            <w:hideMark/>
          </w:tcPr>
          <w:p w:rsidR="00455FBA" w:rsidRPr="008C2DE6" w:rsidRDefault="00455FBA" w:rsidP="00D555F6">
            <w:pPr>
              <w:jc w:val="center"/>
              <w:rPr>
                <w:color w:val="000000"/>
                <w:sz w:val="20"/>
                <w:szCs w:val="20"/>
              </w:rPr>
            </w:pPr>
            <w:r w:rsidRPr="008C2DE6">
              <w:rPr>
                <w:color w:val="000000"/>
                <w:sz w:val="20"/>
                <w:szCs w:val="20"/>
              </w:rPr>
              <w:t xml:space="preserve">Регионы с высоким </w:t>
            </w:r>
            <w:r w:rsidR="00B71702">
              <w:rPr>
                <w:color w:val="000000"/>
                <w:sz w:val="20"/>
                <w:szCs w:val="20"/>
              </w:rPr>
              <w:t>ЭИ</w:t>
            </w:r>
            <w:r w:rsidRPr="008C2DE6">
              <w:rPr>
                <w:color w:val="000000"/>
                <w:sz w:val="20"/>
                <w:szCs w:val="20"/>
              </w:rPr>
              <w:t>ЧР</w:t>
            </w:r>
          </w:p>
        </w:tc>
        <w:tc>
          <w:tcPr>
            <w:tcW w:w="1134" w:type="dxa"/>
            <w:tcBorders>
              <w:top w:val="single" w:sz="4" w:space="0" w:color="auto"/>
              <w:left w:val="nil"/>
              <w:bottom w:val="single" w:sz="4" w:space="0" w:color="auto"/>
              <w:right w:val="single" w:sz="4" w:space="0" w:color="auto"/>
            </w:tcBorders>
            <w:shd w:val="clear" w:color="auto" w:fill="auto"/>
            <w:noWrap/>
            <w:hideMark/>
          </w:tcPr>
          <w:p w:rsidR="00455FBA" w:rsidRPr="008C2DE6" w:rsidRDefault="00455FBA" w:rsidP="00D555F6">
            <w:pPr>
              <w:jc w:val="center"/>
              <w:rPr>
                <w:color w:val="000000"/>
                <w:sz w:val="20"/>
                <w:szCs w:val="20"/>
              </w:rPr>
            </w:pPr>
            <w:r w:rsidRPr="008C2DE6">
              <w:rPr>
                <w:color w:val="000000"/>
                <w:sz w:val="20"/>
                <w:szCs w:val="20"/>
              </w:rPr>
              <w:t xml:space="preserve">Регионы с высоким </w:t>
            </w:r>
            <w:r w:rsidR="00B71702">
              <w:rPr>
                <w:color w:val="000000"/>
                <w:sz w:val="20"/>
                <w:szCs w:val="20"/>
              </w:rPr>
              <w:t>ЭИ</w:t>
            </w:r>
            <w:r w:rsidRPr="008C2DE6">
              <w:rPr>
                <w:color w:val="000000"/>
                <w:sz w:val="20"/>
                <w:szCs w:val="20"/>
              </w:rPr>
              <w:t>ЧР (без Ташкента)</w:t>
            </w:r>
          </w:p>
        </w:tc>
        <w:tc>
          <w:tcPr>
            <w:tcW w:w="1001" w:type="dxa"/>
            <w:tcBorders>
              <w:top w:val="single" w:sz="4" w:space="0" w:color="auto"/>
              <w:left w:val="nil"/>
              <w:bottom w:val="single" w:sz="4" w:space="0" w:color="auto"/>
              <w:right w:val="single" w:sz="4" w:space="0" w:color="auto"/>
            </w:tcBorders>
            <w:shd w:val="clear" w:color="auto" w:fill="auto"/>
            <w:noWrap/>
            <w:hideMark/>
          </w:tcPr>
          <w:p w:rsidR="00455FBA" w:rsidRPr="008C2DE6" w:rsidRDefault="00455FBA" w:rsidP="00D555F6">
            <w:pPr>
              <w:jc w:val="center"/>
              <w:rPr>
                <w:color w:val="000000"/>
                <w:sz w:val="20"/>
                <w:szCs w:val="20"/>
              </w:rPr>
            </w:pPr>
            <w:r w:rsidRPr="008C2DE6">
              <w:rPr>
                <w:color w:val="000000"/>
                <w:sz w:val="20"/>
                <w:szCs w:val="20"/>
              </w:rPr>
              <w:t>Регионы с</w:t>
            </w:r>
            <w:r w:rsidR="00B71702">
              <w:rPr>
                <w:color w:val="000000"/>
                <w:sz w:val="20"/>
                <w:szCs w:val="20"/>
              </w:rPr>
              <w:t xml:space="preserve">о средним и </w:t>
            </w:r>
            <w:r w:rsidRPr="008C2DE6">
              <w:rPr>
                <w:color w:val="000000"/>
                <w:sz w:val="20"/>
                <w:szCs w:val="20"/>
              </w:rPr>
              <w:t xml:space="preserve">низким </w:t>
            </w:r>
            <w:r w:rsidR="00B71702">
              <w:rPr>
                <w:color w:val="000000"/>
                <w:sz w:val="20"/>
                <w:szCs w:val="20"/>
              </w:rPr>
              <w:t>ЭИ</w:t>
            </w:r>
            <w:r w:rsidRPr="008C2DE6">
              <w:rPr>
                <w:color w:val="000000"/>
                <w:sz w:val="20"/>
                <w:szCs w:val="20"/>
              </w:rPr>
              <w:t>ЧР</w:t>
            </w:r>
          </w:p>
        </w:tc>
        <w:tc>
          <w:tcPr>
            <w:tcW w:w="2409" w:type="dxa"/>
            <w:tcBorders>
              <w:top w:val="single" w:sz="4" w:space="0" w:color="auto"/>
              <w:left w:val="nil"/>
              <w:bottom w:val="single" w:sz="4" w:space="0" w:color="auto"/>
              <w:right w:val="single" w:sz="4" w:space="0" w:color="auto"/>
            </w:tcBorders>
            <w:shd w:val="clear" w:color="auto" w:fill="auto"/>
            <w:noWrap/>
            <w:hideMark/>
          </w:tcPr>
          <w:p w:rsidR="00455FBA" w:rsidRPr="008C2DE6" w:rsidRDefault="00455FBA" w:rsidP="00D555F6">
            <w:pPr>
              <w:jc w:val="center"/>
              <w:rPr>
                <w:color w:val="000000"/>
                <w:sz w:val="20"/>
                <w:szCs w:val="20"/>
              </w:rPr>
            </w:pPr>
            <w:r w:rsidRPr="008C2DE6">
              <w:rPr>
                <w:color w:val="000000"/>
                <w:sz w:val="20"/>
                <w:szCs w:val="20"/>
              </w:rPr>
              <w:t xml:space="preserve">Соотношение производства на 1 чел. </w:t>
            </w:r>
            <w:r>
              <w:rPr>
                <w:color w:val="000000"/>
                <w:sz w:val="20"/>
                <w:szCs w:val="20"/>
              </w:rPr>
              <w:t>в</w:t>
            </w:r>
            <w:r w:rsidRPr="008C2DE6">
              <w:rPr>
                <w:color w:val="000000"/>
                <w:sz w:val="20"/>
                <w:szCs w:val="20"/>
              </w:rPr>
              <w:t xml:space="preserve"> регионах с высоким (без Ташкента)</w:t>
            </w:r>
            <w:r w:rsidR="00B71702">
              <w:rPr>
                <w:color w:val="000000"/>
                <w:sz w:val="20"/>
                <w:szCs w:val="20"/>
              </w:rPr>
              <w:t>,</w:t>
            </w:r>
            <w:r w:rsidRPr="008C2DE6">
              <w:rPr>
                <w:color w:val="000000"/>
                <w:sz w:val="20"/>
                <w:szCs w:val="20"/>
              </w:rPr>
              <w:t xml:space="preserve"> </w:t>
            </w:r>
            <w:r w:rsidR="00B71702">
              <w:rPr>
                <w:color w:val="000000"/>
                <w:sz w:val="20"/>
                <w:szCs w:val="20"/>
              </w:rPr>
              <w:t xml:space="preserve">средним </w:t>
            </w:r>
            <w:r w:rsidRPr="008C2DE6">
              <w:rPr>
                <w:color w:val="000000"/>
                <w:sz w:val="20"/>
                <w:szCs w:val="20"/>
              </w:rPr>
              <w:t>и низким</w:t>
            </w:r>
            <w:r>
              <w:rPr>
                <w:color w:val="000000"/>
                <w:sz w:val="20"/>
                <w:szCs w:val="20"/>
              </w:rPr>
              <w:t xml:space="preserve"> ЭИЧР</w:t>
            </w:r>
          </w:p>
        </w:tc>
      </w:tr>
      <w:tr w:rsidR="00B71702" w:rsidRPr="008C2DE6" w:rsidTr="00746A3F">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71702" w:rsidRDefault="00B71702">
            <w:pPr>
              <w:rPr>
                <w:b/>
                <w:bCs/>
                <w:color w:val="000000"/>
                <w:sz w:val="20"/>
                <w:szCs w:val="20"/>
              </w:rPr>
            </w:pPr>
            <w:r>
              <w:rPr>
                <w:b/>
                <w:bCs/>
                <w:color w:val="000000"/>
                <w:sz w:val="20"/>
                <w:szCs w:val="20"/>
              </w:rPr>
              <w:t>Промышленная продукция , всего</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b/>
                <w:bCs/>
                <w:color w:val="000000"/>
                <w:sz w:val="20"/>
                <w:szCs w:val="20"/>
              </w:rPr>
            </w:pPr>
            <w:r>
              <w:rPr>
                <w:b/>
                <w:bCs/>
                <w:color w:val="000000"/>
                <w:sz w:val="20"/>
                <w:szCs w:val="20"/>
              </w:rPr>
              <w:t>1674,9</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b/>
                <w:bCs/>
                <w:color w:val="000000"/>
                <w:sz w:val="20"/>
                <w:szCs w:val="20"/>
              </w:rPr>
            </w:pPr>
            <w:r>
              <w:rPr>
                <w:b/>
                <w:bCs/>
                <w:color w:val="000000"/>
                <w:sz w:val="20"/>
                <w:szCs w:val="20"/>
              </w:rPr>
              <w:t>1835,4</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b/>
                <w:bCs/>
                <w:color w:val="000000"/>
                <w:sz w:val="20"/>
                <w:szCs w:val="20"/>
              </w:rPr>
            </w:pPr>
            <w:r>
              <w:rPr>
                <w:b/>
                <w:bCs/>
                <w:color w:val="000000"/>
                <w:sz w:val="20"/>
                <w:szCs w:val="20"/>
              </w:rPr>
              <w:t>734,4</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b/>
                <w:bCs/>
                <w:color w:val="000000"/>
                <w:sz w:val="20"/>
                <w:szCs w:val="20"/>
              </w:rPr>
            </w:pPr>
            <w:r>
              <w:rPr>
                <w:b/>
                <w:bCs/>
                <w:color w:val="000000"/>
                <w:sz w:val="20"/>
                <w:szCs w:val="20"/>
              </w:rPr>
              <w:t>2,5</w:t>
            </w:r>
          </w:p>
        </w:tc>
      </w:tr>
      <w:tr w:rsidR="00B71702" w:rsidRPr="008C2DE6" w:rsidTr="00746A3F">
        <w:trPr>
          <w:trHeight w:val="29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71702" w:rsidRDefault="00B71702">
            <w:pPr>
              <w:rPr>
                <w:color w:val="000000"/>
                <w:sz w:val="20"/>
                <w:szCs w:val="20"/>
              </w:rPr>
            </w:pPr>
            <w:r>
              <w:rPr>
                <w:color w:val="000000"/>
                <w:sz w:val="20"/>
                <w:szCs w:val="20"/>
              </w:rPr>
              <w:t>Цветная и черная металлургия</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519,1</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688,1</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1,0</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656,7</w:t>
            </w:r>
          </w:p>
        </w:tc>
      </w:tr>
      <w:tr w:rsidR="00B71702" w:rsidRPr="008C2DE6" w:rsidTr="00746A3F">
        <w:trPr>
          <w:trHeight w:val="192"/>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Машиностроение и металлообработка</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368,4</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365,1</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17,7</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20,6</w:t>
            </w:r>
          </w:p>
        </w:tc>
      </w:tr>
      <w:tr w:rsidR="00B71702" w:rsidRPr="008C2DE6" w:rsidTr="00746A3F">
        <w:trPr>
          <w:trHeight w:val="244"/>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Химическая и нефтехимическая промышленность</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113,9</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128,6</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19,8</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6,5</w:t>
            </w:r>
          </w:p>
        </w:tc>
      </w:tr>
      <w:tr w:rsidR="00B71702" w:rsidRPr="008C2DE6" w:rsidTr="00746A3F">
        <w:trPr>
          <w:trHeight w:val="273"/>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Промышленность строительных материалов</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88,7</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101,9</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24,3</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4,2</w:t>
            </w:r>
          </w:p>
        </w:tc>
      </w:tr>
      <w:tr w:rsidR="00B71702" w:rsidRPr="008C2DE6" w:rsidTr="00746A3F">
        <w:trPr>
          <w:trHeight w:val="32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Электроэнергетика</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127,9</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135,4</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79,1</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1,7</w:t>
            </w:r>
          </w:p>
        </w:tc>
      </w:tr>
      <w:tr w:rsidR="00B71702" w:rsidRPr="008C2DE6" w:rsidTr="00746A3F">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Легкая промышленность</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163,9</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196,1</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176,6</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1,1</w:t>
            </w:r>
          </w:p>
        </w:tc>
      </w:tr>
      <w:tr w:rsidR="00B71702" w:rsidRPr="008C2DE6" w:rsidTr="00746A3F">
        <w:trPr>
          <w:trHeight w:val="249"/>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Пищевая, мукомольно-крупяная и комбикормовая промышленность</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159,8</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113,9</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126,1</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0,9</w:t>
            </w:r>
          </w:p>
        </w:tc>
      </w:tr>
      <w:tr w:rsidR="00B71702" w:rsidRPr="008C2DE6" w:rsidTr="00746A3F">
        <w:trPr>
          <w:trHeight w:val="26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B71702" w:rsidRDefault="00B71702">
            <w:pPr>
              <w:rPr>
                <w:color w:val="000000"/>
                <w:sz w:val="20"/>
                <w:szCs w:val="20"/>
              </w:rPr>
            </w:pPr>
            <w:r>
              <w:rPr>
                <w:color w:val="000000"/>
                <w:sz w:val="20"/>
                <w:szCs w:val="20"/>
              </w:rPr>
              <w:t>Топливная промышленность</w:t>
            </w:r>
          </w:p>
        </w:tc>
        <w:tc>
          <w:tcPr>
            <w:tcW w:w="1126"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75,4</w:t>
            </w:r>
          </w:p>
        </w:tc>
        <w:tc>
          <w:tcPr>
            <w:tcW w:w="1134"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83,4</w:t>
            </w:r>
          </w:p>
        </w:tc>
        <w:tc>
          <w:tcPr>
            <w:tcW w:w="1001"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268,3</w:t>
            </w:r>
          </w:p>
        </w:tc>
        <w:tc>
          <w:tcPr>
            <w:tcW w:w="2409" w:type="dxa"/>
            <w:tcBorders>
              <w:top w:val="nil"/>
              <w:left w:val="nil"/>
              <w:bottom w:val="single" w:sz="4" w:space="0" w:color="auto"/>
              <w:right w:val="single" w:sz="4" w:space="0" w:color="auto"/>
            </w:tcBorders>
            <w:shd w:val="clear" w:color="auto" w:fill="auto"/>
            <w:noWrap/>
            <w:vAlign w:val="center"/>
            <w:hideMark/>
          </w:tcPr>
          <w:p w:rsidR="00B71702" w:rsidRDefault="00B71702" w:rsidP="00B71702">
            <w:pPr>
              <w:jc w:val="center"/>
              <w:rPr>
                <w:color w:val="000000"/>
                <w:sz w:val="20"/>
                <w:szCs w:val="20"/>
              </w:rPr>
            </w:pPr>
            <w:r>
              <w:rPr>
                <w:color w:val="000000"/>
                <w:sz w:val="20"/>
                <w:szCs w:val="20"/>
              </w:rPr>
              <w:t>0,3</w:t>
            </w:r>
          </w:p>
        </w:tc>
      </w:tr>
    </w:tbl>
    <w:p w:rsidR="00455FBA" w:rsidRDefault="00455FBA" w:rsidP="00455FBA">
      <w:pPr>
        <w:spacing w:before="120"/>
        <w:jc w:val="both"/>
      </w:pPr>
      <w:r>
        <w:rPr>
          <w:b/>
        </w:rPr>
        <w:t>Рисунок</w:t>
      </w:r>
      <w:r w:rsidRPr="00FF07A1">
        <w:rPr>
          <w:b/>
        </w:rPr>
        <w:t xml:space="preserve"> </w:t>
      </w:r>
      <w:r w:rsidR="009C2FD5">
        <w:rPr>
          <w:b/>
        </w:rPr>
        <w:t>2</w:t>
      </w:r>
      <w:r w:rsidRPr="00FF07A1">
        <w:rPr>
          <w:b/>
        </w:rPr>
        <w:t>.</w:t>
      </w:r>
      <w:r w:rsidR="009C2FD5">
        <w:rPr>
          <w:b/>
        </w:rPr>
        <w:t>10.</w:t>
      </w:r>
      <w:r w:rsidRPr="00FF07A1">
        <w:rPr>
          <w:b/>
        </w:rPr>
        <w:t xml:space="preserve"> </w:t>
      </w:r>
      <w:r>
        <w:rPr>
          <w:b/>
        </w:rPr>
        <w:t>Доля продукции отраслей промышленности в общем объеме промышленной продукции</w:t>
      </w:r>
      <w:r w:rsidRPr="00FF07A1">
        <w:rPr>
          <w:b/>
        </w:rPr>
        <w:t xml:space="preserve">, </w:t>
      </w:r>
      <w:r>
        <w:rPr>
          <w:b/>
        </w:rPr>
        <w:t>средние значения за 2004-2008 гг., в ценах 2005 г.</w:t>
      </w:r>
    </w:p>
    <w:p w:rsidR="00455FBA" w:rsidRDefault="00533D49" w:rsidP="00455FBA">
      <w:pPr>
        <w:spacing w:before="120"/>
        <w:jc w:val="center"/>
      </w:pPr>
      <w:r w:rsidRPr="00533D49">
        <w:rPr>
          <w:noProof/>
        </w:rPr>
        <w:drawing>
          <wp:inline distT="0" distB="0" distL="0" distR="0">
            <wp:extent cx="5940425" cy="3297307"/>
            <wp:effectExtent l="19050" t="0" r="22225" b="0"/>
            <wp:docPr id="3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1F9E" w:rsidRDefault="00071F9E" w:rsidP="00071F9E">
      <w:pPr>
        <w:spacing w:before="120"/>
        <w:jc w:val="both"/>
      </w:pPr>
      <w:r>
        <w:t xml:space="preserve">Наиболее существенные различия между регионами с различными уровнями жизни в том, что в регионы с высоким ЭИЧР специализируются, прежде всего, на следующих отраслях </w:t>
      </w:r>
      <w:r w:rsidR="008B28F0">
        <w:t>промышленности</w:t>
      </w:r>
      <w:r>
        <w:t xml:space="preserve"> (см. </w:t>
      </w:r>
      <w:r w:rsidRPr="001C51F0">
        <w:rPr>
          <w:highlight w:val="yellow"/>
        </w:rPr>
        <w:t xml:space="preserve">Рисунок </w:t>
      </w:r>
      <w:r w:rsidR="009C2FD5">
        <w:rPr>
          <w:highlight w:val="yellow"/>
        </w:rPr>
        <w:t>2.10</w:t>
      </w:r>
      <w:r>
        <w:t xml:space="preserve">): </w:t>
      </w:r>
    </w:p>
    <w:p w:rsidR="00071F9E" w:rsidRDefault="00071F9E" w:rsidP="00071F9E">
      <w:pPr>
        <w:spacing w:before="120"/>
        <w:jc w:val="both"/>
      </w:pPr>
      <w:r>
        <w:t xml:space="preserve">- на </w:t>
      </w:r>
      <w:r w:rsidRPr="003C3EF2">
        <w:rPr>
          <w:b/>
          <w:i/>
        </w:rPr>
        <w:t>цветной и черной металлургии</w:t>
      </w:r>
      <w:r>
        <w:t xml:space="preserve"> (на эти отрасли приходится 37,5% промышленной продукции данных регионов, в том числе в Навоиской области – 71%, в Ташкентской области – 43,6%), </w:t>
      </w:r>
    </w:p>
    <w:p w:rsidR="00071F9E" w:rsidRDefault="00071F9E" w:rsidP="00071F9E">
      <w:pPr>
        <w:spacing w:before="120"/>
        <w:jc w:val="both"/>
      </w:pPr>
      <w:r>
        <w:t xml:space="preserve">- на </w:t>
      </w:r>
      <w:r w:rsidRPr="003C3EF2">
        <w:rPr>
          <w:b/>
          <w:i/>
        </w:rPr>
        <w:t>машиностроении и металлообработке</w:t>
      </w:r>
      <w:r>
        <w:t xml:space="preserve"> (около 20%, в том числе в Андижанской области – 73,4%),</w:t>
      </w:r>
    </w:p>
    <w:p w:rsidR="00071F9E" w:rsidRDefault="00071F9E" w:rsidP="00071F9E">
      <w:pPr>
        <w:spacing w:before="120"/>
        <w:jc w:val="both"/>
      </w:pPr>
      <w:r>
        <w:t xml:space="preserve">- на </w:t>
      </w:r>
      <w:r w:rsidRPr="003C3EF2">
        <w:rPr>
          <w:b/>
          <w:i/>
        </w:rPr>
        <w:t>химической и нефтехимической промышленности</w:t>
      </w:r>
      <w:r>
        <w:t xml:space="preserve"> (7%)</w:t>
      </w:r>
      <w:r w:rsidR="00FA6C10">
        <w:t>,</w:t>
      </w:r>
    </w:p>
    <w:p w:rsidR="00071F9E" w:rsidRDefault="00071F9E" w:rsidP="00071F9E">
      <w:pPr>
        <w:spacing w:before="120"/>
        <w:jc w:val="both"/>
      </w:pPr>
      <w:r>
        <w:t xml:space="preserve">- на </w:t>
      </w:r>
      <w:r w:rsidRPr="00142305">
        <w:rPr>
          <w:b/>
          <w:i/>
        </w:rPr>
        <w:t>промышленности строительных материалов</w:t>
      </w:r>
      <w:r>
        <w:t xml:space="preserve"> (5,6%). </w:t>
      </w:r>
    </w:p>
    <w:p w:rsidR="00455FBA" w:rsidRDefault="00455FBA" w:rsidP="00455FBA">
      <w:pPr>
        <w:spacing w:before="120"/>
        <w:jc w:val="both"/>
      </w:pPr>
      <w:r>
        <w:lastRenderedPageBreak/>
        <w:t xml:space="preserve">Исключение представляет Бухарская область (см. </w:t>
      </w:r>
      <w:r w:rsidRPr="00927FB6">
        <w:rPr>
          <w:highlight w:val="yellow"/>
        </w:rPr>
        <w:t xml:space="preserve">Таблицу </w:t>
      </w:r>
      <w:r w:rsidR="009C2FD5">
        <w:rPr>
          <w:highlight w:val="yellow"/>
        </w:rPr>
        <w:t>2.5</w:t>
      </w:r>
      <w:r>
        <w:t>), которая специализируется на топливной (39,5%) и легкой промышленности (37,8%).</w:t>
      </w:r>
    </w:p>
    <w:p w:rsidR="00FA278D" w:rsidRDefault="00FA278D" w:rsidP="00FA278D">
      <w:pPr>
        <w:spacing w:before="120"/>
        <w:jc w:val="both"/>
        <w:rPr>
          <w:b/>
        </w:rPr>
      </w:pPr>
      <w:r w:rsidRPr="00772054">
        <w:rPr>
          <w:b/>
        </w:rPr>
        <w:t xml:space="preserve">Таблица </w:t>
      </w:r>
      <w:r w:rsidR="009C2FD5">
        <w:rPr>
          <w:b/>
        </w:rPr>
        <w:t>2</w:t>
      </w:r>
      <w:r w:rsidRPr="00772054">
        <w:rPr>
          <w:b/>
        </w:rPr>
        <w:t>.</w:t>
      </w:r>
      <w:r w:rsidR="009C2FD5">
        <w:rPr>
          <w:b/>
        </w:rPr>
        <w:t>5.</w:t>
      </w:r>
      <w:r w:rsidRPr="00772054">
        <w:rPr>
          <w:b/>
        </w:rPr>
        <w:t xml:space="preserve"> Доля производства отдельных отраслей промышленности в общем объеме промышленного производства – среднее значение за 2004-2008 гг., %</w:t>
      </w:r>
      <w:r>
        <w:rPr>
          <w:b/>
        </w:rPr>
        <w:t>.</w:t>
      </w:r>
    </w:p>
    <w:tbl>
      <w:tblPr>
        <w:tblW w:w="10066" w:type="dxa"/>
        <w:tblInd w:w="-318" w:type="dxa"/>
        <w:tblLayout w:type="fixed"/>
        <w:tblLook w:val="04A0"/>
      </w:tblPr>
      <w:tblGrid>
        <w:gridCol w:w="2127"/>
        <w:gridCol w:w="851"/>
        <w:gridCol w:w="847"/>
        <w:gridCol w:w="851"/>
        <w:gridCol w:w="851"/>
        <w:gridCol w:w="709"/>
        <w:gridCol w:w="994"/>
        <w:gridCol w:w="709"/>
        <w:gridCol w:w="709"/>
        <w:gridCol w:w="709"/>
        <w:gridCol w:w="709"/>
      </w:tblGrid>
      <w:tr w:rsidR="00FA278D" w:rsidTr="007376F2">
        <w:trPr>
          <w:trHeight w:val="1661"/>
        </w:trPr>
        <w:tc>
          <w:tcPr>
            <w:tcW w:w="212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A278D" w:rsidRPr="006B27DC" w:rsidRDefault="00FA278D" w:rsidP="00B34563">
            <w:pPr>
              <w:rPr>
                <w:color w:val="000000"/>
                <w:sz w:val="18"/>
                <w:szCs w:val="18"/>
              </w:rPr>
            </w:pPr>
            <w:r w:rsidRPr="006B27DC">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Маши-ностро-ение и метало-обра-ботка</w:t>
            </w:r>
          </w:p>
        </w:tc>
        <w:tc>
          <w:tcPr>
            <w:tcW w:w="847"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Цвет-ная и черная метал-лургия</w:t>
            </w:r>
          </w:p>
        </w:tc>
        <w:tc>
          <w:tcPr>
            <w:tcW w:w="851"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Хими-ческая и неф-техими-ческая промы-шлен-ность</w:t>
            </w:r>
          </w:p>
        </w:tc>
        <w:tc>
          <w:tcPr>
            <w:tcW w:w="851"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Промы-шлен-ность строи-тель-ных матери-алов</w:t>
            </w:r>
          </w:p>
        </w:tc>
        <w:tc>
          <w:tcPr>
            <w:tcW w:w="709"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Лег-кая про-мыш-лен-ность</w:t>
            </w:r>
          </w:p>
        </w:tc>
        <w:tc>
          <w:tcPr>
            <w:tcW w:w="994"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Пищевая, муко-мольно-крупяная и комби-кормовая промыш-ленность</w:t>
            </w:r>
          </w:p>
        </w:tc>
        <w:tc>
          <w:tcPr>
            <w:tcW w:w="709"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Топ-лив-ная про-мыш-лен-ность</w:t>
            </w:r>
          </w:p>
        </w:tc>
        <w:tc>
          <w:tcPr>
            <w:tcW w:w="709" w:type="dxa"/>
            <w:tcBorders>
              <w:top w:val="single" w:sz="4" w:space="0" w:color="auto"/>
              <w:left w:val="nil"/>
              <w:bottom w:val="single" w:sz="4" w:space="0" w:color="auto"/>
              <w:right w:val="single" w:sz="4" w:space="0" w:color="auto"/>
            </w:tcBorders>
            <w:shd w:val="clear" w:color="000000" w:fill="92D050"/>
            <w:hideMark/>
          </w:tcPr>
          <w:p w:rsidR="00FA278D" w:rsidRPr="001634B8" w:rsidRDefault="00FA278D" w:rsidP="00D555F6">
            <w:pPr>
              <w:jc w:val="center"/>
              <w:rPr>
                <w:color w:val="000000"/>
                <w:sz w:val="18"/>
                <w:szCs w:val="18"/>
              </w:rPr>
            </w:pPr>
            <w:r w:rsidRPr="001634B8">
              <w:rPr>
                <w:color w:val="000000"/>
                <w:sz w:val="18"/>
                <w:szCs w:val="18"/>
              </w:rPr>
              <w:t>Элек-тро-энер-гети-ка</w:t>
            </w:r>
          </w:p>
        </w:tc>
        <w:tc>
          <w:tcPr>
            <w:tcW w:w="709" w:type="dxa"/>
            <w:tcBorders>
              <w:top w:val="single" w:sz="4" w:space="0" w:color="auto"/>
              <w:left w:val="nil"/>
              <w:bottom w:val="single" w:sz="4" w:space="0" w:color="auto"/>
              <w:right w:val="single" w:sz="4" w:space="0" w:color="auto"/>
            </w:tcBorders>
            <w:shd w:val="clear" w:color="000000" w:fill="92D050"/>
            <w:noWrap/>
            <w:hideMark/>
          </w:tcPr>
          <w:p w:rsidR="00FA278D" w:rsidRPr="001634B8" w:rsidRDefault="00FA278D" w:rsidP="00D555F6">
            <w:pPr>
              <w:jc w:val="center"/>
              <w:rPr>
                <w:color w:val="000000"/>
                <w:sz w:val="18"/>
                <w:szCs w:val="18"/>
              </w:rPr>
            </w:pPr>
            <w:r w:rsidRPr="001634B8">
              <w:rPr>
                <w:color w:val="000000"/>
                <w:sz w:val="18"/>
                <w:szCs w:val="18"/>
              </w:rPr>
              <w:t>Доля про-мыш-лен-ности в ВРП</w:t>
            </w:r>
          </w:p>
        </w:tc>
        <w:tc>
          <w:tcPr>
            <w:tcW w:w="709" w:type="dxa"/>
            <w:tcBorders>
              <w:top w:val="single" w:sz="4" w:space="0" w:color="auto"/>
              <w:left w:val="nil"/>
              <w:bottom w:val="single" w:sz="4" w:space="0" w:color="auto"/>
              <w:right w:val="single" w:sz="4" w:space="0" w:color="auto"/>
            </w:tcBorders>
            <w:shd w:val="clear" w:color="000000" w:fill="92D050"/>
          </w:tcPr>
          <w:p w:rsidR="00FA278D" w:rsidRPr="001634B8" w:rsidRDefault="00FA278D" w:rsidP="00D555F6">
            <w:pPr>
              <w:jc w:val="center"/>
              <w:rPr>
                <w:color w:val="000000"/>
                <w:sz w:val="18"/>
                <w:szCs w:val="18"/>
              </w:rPr>
            </w:pPr>
            <w:r w:rsidRPr="001634B8">
              <w:rPr>
                <w:color w:val="000000"/>
                <w:sz w:val="18"/>
                <w:szCs w:val="18"/>
              </w:rPr>
              <w:t>Доля заня-тых в про-мыш-лен-ности</w:t>
            </w:r>
          </w:p>
        </w:tc>
      </w:tr>
      <w:tr w:rsidR="00FA278D" w:rsidTr="00B21326">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Город Ташкент</w:t>
            </w:r>
          </w:p>
        </w:tc>
        <w:tc>
          <w:tcPr>
            <w:tcW w:w="851"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30,9</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4,4</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6,0</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4,3</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6,2</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23,1</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3,7</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8,8</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FA278D" w:rsidRDefault="00FA278D" w:rsidP="00B34563">
            <w:pPr>
              <w:jc w:val="center"/>
              <w:rPr>
                <w:color w:val="000000"/>
                <w:sz w:val="18"/>
                <w:szCs w:val="18"/>
              </w:rPr>
            </w:pPr>
            <w:r>
              <w:rPr>
                <w:color w:val="000000"/>
                <w:sz w:val="18"/>
                <w:szCs w:val="18"/>
              </w:rPr>
              <w:t>18,3</w:t>
            </w:r>
          </w:p>
        </w:tc>
        <w:tc>
          <w:tcPr>
            <w:tcW w:w="709" w:type="dxa"/>
            <w:tcBorders>
              <w:top w:val="single" w:sz="4" w:space="0" w:color="auto"/>
              <w:left w:val="nil"/>
              <w:bottom w:val="single" w:sz="4" w:space="0" w:color="auto"/>
              <w:right w:val="single" w:sz="4" w:space="0" w:color="auto"/>
            </w:tcBorders>
            <w:shd w:val="clear" w:color="000000" w:fill="FFC000"/>
            <w:vAlign w:val="bottom"/>
          </w:tcPr>
          <w:p w:rsidR="00FA278D" w:rsidRDefault="00FA278D" w:rsidP="00B21326">
            <w:pPr>
              <w:jc w:val="center"/>
              <w:rPr>
                <w:color w:val="000000"/>
                <w:sz w:val="18"/>
                <w:szCs w:val="18"/>
              </w:rPr>
            </w:pPr>
            <w:r>
              <w:rPr>
                <w:color w:val="000000"/>
                <w:sz w:val="18"/>
                <w:szCs w:val="18"/>
              </w:rPr>
              <w:t>22,3</w:t>
            </w:r>
          </w:p>
        </w:tc>
      </w:tr>
      <w:tr w:rsidR="00FA278D" w:rsidTr="007376F2">
        <w:trPr>
          <w:trHeight w:val="244"/>
        </w:trPr>
        <w:tc>
          <w:tcPr>
            <w:tcW w:w="10066" w:type="dxa"/>
            <w:gridSpan w:val="11"/>
            <w:tcBorders>
              <w:top w:val="nil"/>
              <w:left w:val="single" w:sz="4" w:space="0" w:color="auto"/>
              <w:bottom w:val="single" w:sz="4" w:space="0" w:color="auto"/>
              <w:right w:val="single" w:sz="4" w:space="0" w:color="auto"/>
            </w:tcBorders>
            <w:shd w:val="clear" w:color="000000" w:fill="92D050"/>
            <w:noWrap/>
            <w:vAlign w:val="bottom"/>
            <w:hideMark/>
          </w:tcPr>
          <w:p w:rsidR="00FA278D" w:rsidRPr="006B27DC" w:rsidRDefault="00FA278D" w:rsidP="00B34563">
            <w:pPr>
              <w:rPr>
                <w:color w:val="000000"/>
                <w:sz w:val="18"/>
                <w:szCs w:val="18"/>
              </w:rPr>
            </w:pPr>
            <w:r w:rsidRPr="006B27DC">
              <w:rPr>
                <w:color w:val="000000"/>
                <w:sz w:val="18"/>
                <w:szCs w:val="18"/>
              </w:rPr>
              <w:t>Регионы с высоким уровнем ЭИЧР </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Навоийская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0,5</w:t>
            </w:r>
          </w:p>
        </w:tc>
        <w:tc>
          <w:tcPr>
            <w:tcW w:w="847"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71,0</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9,6</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7,6</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2,6</w:t>
            </w:r>
          </w:p>
        </w:tc>
        <w:tc>
          <w:tcPr>
            <w:tcW w:w="994"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1,7</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6,9</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Default="00FA278D" w:rsidP="00B34563">
            <w:pPr>
              <w:jc w:val="center"/>
              <w:rPr>
                <w:color w:val="000000"/>
                <w:sz w:val="18"/>
                <w:szCs w:val="18"/>
              </w:rPr>
            </w:pPr>
            <w:r>
              <w:rPr>
                <w:color w:val="000000"/>
                <w:sz w:val="18"/>
                <w:szCs w:val="18"/>
              </w:rPr>
              <w:t>55,5</w:t>
            </w:r>
          </w:p>
        </w:tc>
        <w:tc>
          <w:tcPr>
            <w:tcW w:w="709" w:type="dxa"/>
            <w:tcBorders>
              <w:top w:val="nil"/>
              <w:left w:val="nil"/>
              <w:bottom w:val="single" w:sz="4" w:space="0" w:color="auto"/>
              <w:right w:val="single" w:sz="4" w:space="0" w:color="auto"/>
            </w:tcBorders>
            <w:shd w:val="clear" w:color="000000" w:fill="FFC000"/>
            <w:vAlign w:val="bottom"/>
          </w:tcPr>
          <w:p w:rsidR="00FA278D" w:rsidRPr="007F1898" w:rsidRDefault="00FA278D" w:rsidP="00B34563">
            <w:pPr>
              <w:jc w:val="center"/>
              <w:rPr>
                <w:color w:val="000000"/>
                <w:sz w:val="18"/>
                <w:szCs w:val="18"/>
              </w:rPr>
            </w:pPr>
            <w:r w:rsidRPr="007F1898">
              <w:rPr>
                <w:color w:val="000000"/>
                <w:sz w:val="18"/>
                <w:szCs w:val="18"/>
              </w:rPr>
              <w:t>26,0</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Ташкентская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3,9</w:t>
            </w:r>
          </w:p>
        </w:tc>
        <w:tc>
          <w:tcPr>
            <w:tcW w:w="847"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43,6</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9,2</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7,9</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9,8</w:t>
            </w:r>
          </w:p>
        </w:tc>
        <w:tc>
          <w:tcPr>
            <w:tcW w:w="994"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8,7</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2,1</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12,3</w:t>
            </w:r>
          </w:p>
        </w:tc>
        <w:tc>
          <w:tcPr>
            <w:tcW w:w="709" w:type="dxa"/>
            <w:tcBorders>
              <w:top w:val="single" w:sz="4" w:space="0" w:color="auto"/>
              <w:left w:val="nil"/>
              <w:bottom w:val="single" w:sz="4" w:space="0" w:color="auto"/>
              <w:right w:val="single" w:sz="4" w:space="0" w:color="auto"/>
            </w:tcBorders>
            <w:shd w:val="clear" w:color="000000" w:fill="FFC000"/>
            <w:noWrap/>
            <w:vAlign w:val="bottom"/>
            <w:hideMark/>
          </w:tcPr>
          <w:p w:rsidR="00FA278D" w:rsidRDefault="00FA278D" w:rsidP="00B34563">
            <w:pPr>
              <w:jc w:val="center"/>
              <w:rPr>
                <w:color w:val="000000"/>
                <w:sz w:val="18"/>
                <w:szCs w:val="18"/>
              </w:rPr>
            </w:pPr>
            <w:r>
              <w:rPr>
                <w:color w:val="000000"/>
                <w:sz w:val="18"/>
                <w:szCs w:val="18"/>
              </w:rPr>
              <w:t>36,4</w:t>
            </w:r>
          </w:p>
        </w:tc>
        <w:tc>
          <w:tcPr>
            <w:tcW w:w="709" w:type="dxa"/>
            <w:tcBorders>
              <w:top w:val="single" w:sz="4" w:space="0" w:color="auto"/>
              <w:left w:val="nil"/>
              <w:bottom w:val="single" w:sz="4" w:space="0" w:color="auto"/>
              <w:right w:val="single" w:sz="4" w:space="0" w:color="auto"/>
            </w:tcBorders>
            <w:shd w:val="clear" w:color="000000" w:fill="FFC000"/>
            <w:vAlign w:val="bottom"/>
          </w:tcPr>
          <w:p w:rsidR="00FA278D" w:rsidRPr="007F1898" w:rsidRDefault="00FA278D" w:rsidP="00B34563">
            <w:pPr>
              <w:jc w:val="center"/>
              <w:rPr>
                <w:color w:val="000000"/>
                <w:sz w:val="18"/>
                <w:szCs w:val="18"/>
              </w:rPr>
            </w:pPr>
            <w:r>
              <w:rPr>
                <w:color w:val="000000"/>
                <w:sz w:val="18"/>
                <w:szCs w:val="18"/>
              </w:rPr>
              <w:t>19,8</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Андижанская область</w:t>
            </w:r>
          </w:p>
        </w:tc>
        <w:tc>
          <w:tcPr>
            <w:tcW w:w="851"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73,4</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3,1</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0,5</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12,8</w:t>
            </w:r>
          </w:p>
        </w:tc>
        <w:tc>
          <w:tcPr>
            <w:tcW w:w="994"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0,6</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2,7</w:t>
            </w:r>
          </w:p>
        </w:tc>
        <w:tc>
          <w:tcPr>
            <w:tcW w:w="709" w:type="dxa"/>
            <w:tcBorders>
              <w:top w:val="single" w:sz="4" w:space="0" w:color="auto"/>
              <w:left w:val="nil"/>
              <w:bottom w:val="single" w:sz="4" w:space="0" w:color="auto"/>
              <w:right w:val="single" w:sz="4" w:space="0" w:color="auto"/>
            </w:tcBorders>
            <w:shd w:val="clear" w:color="000000" w:fill="FFC000"/>
            <w:noWrap/>
            <w:vAlign w:val="bottom"/>
            <w:hideMark/>
          </w:tcPr>
          <w:p w:rsidR="00FA278D" w:rsidRDefault="00FA278D" w:rsidP="00B34563">
            <w:pPr>
              <w:jc w:val="center"/>
              <w:rPr>
                <w:color w:val="000000"/>
                <w:sz w:val="18"/>
                <w:szCs w:val="18"/>
              </w:rPr>
            </w:pPr>
            <w:r>
              <w:rPr>
                <w:color w:val="000000"/>
                <w:sz w:val="18"/>
                <w:szCs w:val="18"/>
              </w:rPr>
              <w:t>26,5</w:t>
            </w:r>
          </w:p>
        </w:tc>
        <w:tc>
          <w:tcPr>
            <w:tcW w:w="709" w:type="dxa"/>
            <w:tcBorders>
              <w:top w:val="single" w:sz="4" w:space="0" w:color="auto"/>
              <w:left w:val="nil"/>
              <w:bottom w:val="single" w:sz="4" w:space="0" w:color="auto"/>
              <w:right w:val="single" w:sz="4" w:space="0" w:color="auto"/>
            </w:tcBorders>
            <w:shd w:val="clear" w:color="000000" w:fill="FFFF00"/>
            <w:vAlign w:val="bottom"/>
          </w:tcPr>
          <w:p w:rsidR="00FA278D" w:rsidRPr="007F1898" w:rsidRDefault="00FA278D" w:rsidP="00B34563">
            <w:pPr>
              <w:jc w:val="center"/>
              <w:rPr>
                <w:color w:val="000000"/>
                <w:sz w:val="18"/>
                <w:szCs w:val="18"/>
              </w:rPr>
            </w:pPr>
            <w:r>
              <w:rPr>
                <w:color w:val="000000"/>
                <w:sz w:val="18"/>
                <w:szCs w:val="18"/>
              </w:rPr>
              <w:t>13,1</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Бухарская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2,7</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2,7</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37,8</w:t>
            </w:r>
          </w:p>
        </w:tc>
        <w:tc>
          <w:tcPr>
            <w:tcW w:w="994"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12,8</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39,5</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14,5</w:t>
            </w:r>
          </w:p>
        </w:tc>
        <w:tc>
          <w:tcPr>
            <w:tcW w:w="709" w:type="dxa"/>
            <w:tcBorders>
              <w:top w:val="single" w:sz="4" w:space="0" w:color="auto"/>
              <w:left w:val="nil"/>
              <w:bottom w:val="single" w:sz="4" w:space="0" w:color="auto"/>
              <w:right w:val="single" w:sz="4" w:space="0" w:color="auto"/>
            </w:tcBorders>
            <w:shd w:val="clear" w:color="000000" w:fill="FFFF00"/>
            <w:vAlign w:val="bottom"/>
          </w:tcPr>
          <w:p w:rsidR="00FA278D" w:rsidRPr="007F1898" w:rsidRDefault="00FA278D" w:rsidP="00B34563">
            <w:pPr>
              <w:jc w:val="center"/>
              <w:rPr>
                <w:color w:val="000000"/>
                <w:sz w:val="18"/>
                <w:szCs w:val="18"/>
              </w:rPr>
            </w:pPr>
            <w:r>
              <w:rPr>
                <w:color w:val="000000"/>
                <w:sz w:val="18"/>
                <w:szCs w:val="18"/>
              </w:rPr>
              <w:t>10,3</w:t>
            </w:r>
          </w:p>
        </w:tc>
      </w:tr>
      <w:tr w:rsidR="00FA278D" w:rsidTr="00746A3F">
        <w:trPr>
          <w:trHeight w:val="179"/>
        </w:trPr>
        <w:tc>
          <w:tcPr>
            <w:tcW w:w="10066" w:type="dxa"/>
            <w:gridSpan w:val="11"/>
            <w:tcBorders>
              <w:top w:val="nil"/>
              <w:left w:val="single" w:sz="4" w:space="0" w:color="auto"/>
              <w:bottom w:val="single" w:sz="4" w:space="0" w:color="auto"/>
              <w:right w:val="single" w:sz="4" w:space="0" w:color="auto"/>
            </w:tcBorders>
            <w:shd w:val="clear" w:color="000000" w:fill="92D050"/>
            <w:noWrap/>
            <w:vAlign w:val="bottom"/>
            <w:hideMark/>
          </w:tcPr>
          <w:p w:rsidR="00FA278D" w:rsidRPr="006B27DC" w:rsidRDefault="00FA278D" w:rsidP="00B34563">
            <w:pPr>
              <w:rPr>
                <w:color w:val="000000"/>
                <w:sz w:val="18"/>
                <w:szCs w:val="18"/>
              </w:rPr>
            </w:pPr>
            <w:r w:rsidRPr="006B27DC">
              <w:rPr>
                <w:color w:val="000000"/>
                <w:sz w:val="18"/>
                <w:szCs w:val="18"/>
              </w:rPr>
              <w:t>Регионы со средним уровнем ЭИЧР</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Ферганская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1,7</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6,6</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20,8</w:t>
            </w:r>
          </w:p>
        </w:tc>
        <w:tc>
          <w:tcPr>
            <w:tcW w:w="994"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9,3</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43,3</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4,3</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Default="00FA278D" w:rsidP="00B34563">
            <w:pPr>
              <w:jc w:val="center"/>
              <w:rPr>
                <w:color w:val="000000"/>
                <w:sz w:val="18"/>
                <w:szCs w:val="18"/>
              </w:rPr>
            </w:pPr>
            <w:r>
              <w:rPr>
                <w:color w:val="000000"/>
                <w:sz w:val="18"/>
                <w:szCs w:val="18"/>
              </w:rPr>
              <w:t>22,6</w:t>
            </w:r>
          </w:p>
        </w:tc>
        <w:tc>
          <w:tcPr>
            <w:tcW w:w="709" w:type="dxa"/>
            <w:tcBorders>
              <w:top w:val="nil"/>
              <w:left w:val="nil"/>
              <w:bottom w:val="single" w:sz="4" w:space="0" w:color="auto"/>
              <w:right w:val="single" w:sz="4" w:space="0" w:color="auto"/>
            </w:tcBorders>
            <w:shd w:val="clear" w:color="000000" w:fill="FFFF00"/>
            <w:vAlign w:val="bottom"/>
          </w:tcPr>
          <w:p w:rsidR="00FA278D" w:rsidRPr="007F1898" w:rsidRDefault="00FA278D" w:rsidP="00B34563">
            <w:pPr>
              <w:jc w:val="center"/>
              <w:rPr>
                <w:color w:val="000000"/>
                <w:sz w:val="18"/>
                <w:szCs w:val="18"/>
              </w:rPr>
            </w:pPr>
            <w:r w:rsidRPr="007F1898">
              <w:rPr>
                <w:color w:val="000000"/>
                <w:sz w:val="18"/>
                <w:szCs w:val="18"/>
              </w:rPr>
              <w:t>14,4</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Хорезмская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4,6</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3,2</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51,7</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26,7</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0,3</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10,3</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8,4</w:t>
            </w:r>
          </w:p>
        </w:tc>
        <w:tc>
          <w:tcPr>
            <w:tcW w:w="709" w:type="dxa"/>
            <w:tcBorders>
              <w:top w:val="nil"/>
              <w:left w:val="nil"/>
              <w:bottom w:val="single" w:sz="4" w:space="0" w:color="auto"/>
              <w:right w:val="single" w:sz="4" w:space="0" w:color="auto"/>
            </w:tcBorders>
            <w:shd w:val="clear" w:color="000000" w:fill="FFFFFF"/>
            <w:vAlign w:val="bottom"/>
          </w:tcPr>
          <w:p w:rsidR="00FA278D" w:rsidRPr="007F1898" w:rsidRDefault="00FA278D" w:rsidP="00B34563">
            <w:pPr>
              <w:jc w:val="center"/>
              <w:rPr>
                <w:color w:val="000000"/>
                <w:sz w:val="18"/>
                <w:szCs w:val="18"/>
              </w:rPr>
            </w:pPr>
            <w:r>
              <w:rPr>
                <w:color w:val="000000"/>
                <w:sz w:val="18"/>
                <w:szCs w:val="18"/>
              </w:rPr>
              <w:t>8,1</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Самаркандская обл</w:t>
            </w:r>
            <w:r>
              <w:rPr>
                <w:color w:val="000000"/>
                <w:sz w:val="18"/>
                <w:szCs w:val="18"/>
              </w:rPr>
              <w:t>асть</w:t>
            </w:r>
          </w:p>
        </w:tc>
        <w:tc>
          <w:tcPr>
            <w:tcW w:w="851"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7,7</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1,3</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4,1</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24,3</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48,6</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5,7</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9,5</w:t>
            </w:r>
          </w:p>
        </w:tc>
        <w:tc>
          <w:tcPr>
            <w:tcW w:w="709" w:type="dxa"/>
            <w:tcBorders>
              <w:top w:val="single" w:sz="4" w:space="0" w:color="auto"/>
              <w:left w:val="nil"/>
              <w:bottom w:val="single" w:sz="4" w:space="0" w:color="auto"/>
              <w:right w:val="single" w:sz="4" w:space="0" w:color="auto"/>
            </w:tcBorders>
            <w:shd w:val="clear" w:color="000000" w:fill="FFFF00"/>
            <w:vAlign w:val="bottom"/>
          </w:tcPr>
          <w:p w:rsidR="00FA278D" w:rsidRPr="007F1898" w:rsidRDefault="00FA278D" w:rsidP="00B34563">
            <w:pPr>
              <w:jc w:val="center"/>
              <w:rPr>
                <w:color w:val="000000"/>
                <w:sz w:val="18"/>
                <w:szCs w:val="18"/>
              </w:rPr>
            </w:pPr>
            <w:r w:rsidRPr="007F1898">
              <w:rPr>
                <w:color w:val="000000"/>
                <w:sz w:val="18"/>
                <w:szCs w:val="18"/>
              </w:rPr>
              <w:t>10,5</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Наманганская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3,5</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0,9</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4,7</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47,5</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30,7</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0,6</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9,5</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9,3</w:t>
            </w:r>
          </w:p>
        </w:tc>
        <w:tc>
          <w:tcPr>
            <w:tcW w:w="709" w:type="dxa"/>
            <w:tcBorders>
              <w:top w:val="single" w:sz="4" w:space="0" w:color="auto"/>
              <w:left w:val="nil"/>
              <w:bottom w:val="single" w:sz="4" w:space="0" w:color="auto"/>
              <w:right w:val="single" w:sz="4" w:space="0" w:color="auto"/>
            </w:tcBorders>
            <w:shd w:val="clear" w:color="000000" w:fill="FFFF00"/>
            <w:vAlign w:val="bottom"/>
          </w:tcPr>
          <w:p w:rsidR="00FA278D" w:rsidRPr="007F1898" w:rsidRDefault="00FA278D" w:rsidP="00B34563">
            <w:pPr>
              <w:jc w:val="center"/>
              <w:rPr>
                <w:color w:val="000000"/>
                <w:sz w:val="18"/>
                <w:szCs w:val="18"/>
              </w:rPr>
            </w:pPr>
            <w:r>
              <w:rPr>
                <w:color w:val="000000"/>
                <w:sz w:val="18"/>
                <w:szCs w:val="18"/>
              </w:rPr>
              <w:t>13,2</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Сурхандарьинская обл.</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2,3</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0,2</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3,5</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53,3</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24,7</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rsidR="00FA278D" w:rsidRPr="006B27DC" w:rsidRDefault="00FA278D" w:rsidP="00B34563">
            <w:pPr>
              <w:jc w:val="center"/>
              <w:rPr>
                <w:color w:val="000000"/>
                <w:sz w:val="18"/>
                <w:szCs w:val="18"/>
              </w:rPr>
            </w:pPr>
            <w:r w:rsidRPr="006B27DC">
              <w:rPr>
                <w:color w:val="000000"/>
                <w:sz w:val="18"/>
                <w:szCs w:val="18"/>
              </w:rPr>
              <w:t>7,5</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6,6</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7,7</w:t>
            </w:r>
          </w:p>
        </w:tc>
        <w:tc>
          <w:tcPr>
            <w:tcW w:w="709" w:type="dxa"/>
            <w:tcBorders>
              <w:top w:val="nil"/>
              <w:left w:val="nil"/>
              <w:bottom w:val="single" w:sz="4" w:space="0" w:color="auto"/>
              <w:right w:val="single" w:sz="4" w:space="0" w:color="auto"/>
            </w:tcBorders>
            <w:shd w:val="clear" w:color="000000" w:fill="FFFFFF"/>
            <w:vAlign w:val="bottom"/>
          </w:tcPr>
          <w:p w:rsidR="00FA278D" w:rsidRPr="007F1898" w:rsidRDefault="00FA278D" w:rsidP="00B34563">
            <w:pPr>
              <w:jc w:val="center"/>
              <w:rPr>
                <w:color w:val="000000"/>
                <w:sz w:val="18"/>
                <w:szCs w:val="18"/>
              </w:rPr>
            </w:pPr>
            <w:r>
              <w:rPr>
                <w:color w:val="000000"/>
                <w:sz w:val="18"/>
                <w:szCs w:val="18"/>
              </w:rPr>
              <w:t>6,1</w:t>
            </w:r>
          </w:p>
        </w:tc>
      </w:tr>
      <w:tr w:rsidR="00FA278D" w:rsidTr="00746A3F">
        <w:trPr>
          <w:trHeight w:val="149"/>
        </w:trPr>
        <w:tc>
          <w:tcPr>
            <w:tcW w:w="10066" w:type="dxa"/>
            <w:gridSpan w:val="11"/>
            <w:tcBorders>
              <w:top w:val="nil"/>
              <w:left w:val="single" w:sz="4" w:space="0" w:color="auto"/>
              <w:bottom w:val="single" w:sz="4" w:space="0" w:color="auto"/>
              <w:right w:val="single" w:sz="4" w:space="0" w:color="auto"/>
            </w:tcBorders>
            <w:shd w:val="clear" w:color="000000" w:fill="92D050"/>
            <w:noWrap/>
            <w:vAlign w:val="bottom"/>
            <w:hideMark/>
          </w:tcPr>
          <w:p w:rsidR="00FA278D" w:rsidRPr="006B27DC" w:rsidRDefault="00FA278D" w:rsidP="00B34563">
            <w:pPr>
              <w:rPr>
                <w:color w:val="000000"/>
                <w:sz w:val="18"/>
                <w:szCs w:val="18"/>
              </w:rPr>
            </w:pPr>
            <w:r w:rsidRPr="006B27DC">
              <w:rPr>
                <w:color w:val="000000"/>
                <w:sz w:val="18"/>
                <w:szCs w:val="18"/>
              </w:rPr>
              <w:t>Регионы с низким уровнем ЭИЧР</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Сырдарьинская область</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1,1</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0,6</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23,7</w:t>
            </w:r>
          </w:p>
        </w:tc>
        <w:tc>
          <w:tcPr>
            <w:tcW w:w="994"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0,3</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60,2</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Default="00FA278D" w:rsidP="00B34563">
            <w:pPr>
              <w:jc w:val="center"/>
              <w:rPr>
                <w:color w:val="000000"/>
                <w:sz w:val="18"/>
                <w:szCs w:val="18"/>
              </w:rPr>
            </w:pPr>
            <w:r>
              <w:rPr>
                <w:color w:val="000000"/>
                <w:sz w:val="18"/>
                <w:szCs w:val="18"/>
              </w:rPr>
              <w:t>17,5</w:t>
            </w:r>
          </w:p>
        </w:tc>
        <w:tc>
          <w:tcPr>
            <w:tcW w:w="709" w:type="dxa"/>
            <w:tcBorders>
              <w:top w:val="nil"/>
              <w:left w:val="nil"/>
              <w:bottom w:val="single" w:sz="4" w:space="0" w:color="auto"/>
              <w:right w:val="single" w:sz="4" w:space="0" w:color="auto"/>
            </w:tcBorders>
            <w:shd w:val="clear" w:color="000000" w:fill="FFFFFF"/>
            <w:vAlign w:val="bottom"/>
          </w:tcPr>
          <w:p w:rsidR="00FA278D" w:rsidRPr="007F1898" w:rsidRDefault="00FA278D" w:rsidP="00B34563">
            <w:pPr>
              <w:jc w:val="center"/>
              <w:rPr>
                <w:color w:val="000000"/>
                <w:sz w:val="18"/>
                <w:szCs w:val="18"/>
              </w:rPr>
            </w:pPr>
            <w:r w:rsidRPr="007F1898">
              <w:rPr>
                <w:color w:val="000000"/>
                <w:sz w:val="18"/>
                <w:szCs w:val="18"/>
              </w:rPr>
              <w:t>9,5</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Кашкадарьинская обл.</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0,6</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0,8</w:t>
            </w:r>
          </w:p>
        </w:tc>
        <w:tc>
          <w:tcPr>
            <w:tcW w:w="709" w:type="dxa"/>
            <w:tcBorders>
              <w:top w:val="nil"/>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12,1</w:t>
            </w:r>
          </w:p>
        </w:tc>
        <w:tc>
          <w:tcPr>
            <w:tcW w:w="994"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6,9</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73,0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5,9</w:t>
            </w:r>
          </w:p>
        </w:tc>
        <w:tc>
          <w:tcPr>
            <w:tcW w:w="709" w:type="dxa"/>
            <w:tcBorders>
              <w:top w:val="single" w:sz="4" w:space="0" w:color="auto"/>
              <w:left w:val="nil"/>
              <w:bottom w:val="single" w:sz="4" w:space="0" w:color="auto"/>
              <w:right w:val="single" w:sz="4" w:space="0" w:color="auto"/>
            </w:tcBorders>
            <w:shd w:val="clear" w:color="000000" w:fill="FFC000"/>
            <w:noWrap/>
            <w:vAlign w:val="bottom"/>
            <w:hideMark/>
          </w:tcPr>
          <w:p w:rsidR="00FA278D" w:rsidRDefault="00FA278D" w:rsidP="00B34563">
            <w:pPr>
              <w:jc w:val="center"/>
              <w:rPr>
                <w:color w:val="000000"/>
                <w:sz w:val="18"/>
                <w:szCs w:val="18"/>
              </w:rPr>
            </w:pPr>
            <w:r>
              <w:rPr>
                <w:color w:val="000000"/>
                <w:sz w:val="18"/>
                <w:szCs w:val="18"/>
              </w:rPr>
              <w:t>33,3</w:t>
            </w:r>
          </w:p>
        </w:tc>
        <w:tc>
          <w:tcPr>
            <w:tcW w:w="709" w:type="dxa"/>
            <w:tcBorders>
              <w:top w:val="nil"/>
              <w:left w:val="nil"/>
              <w:bottom w:val="single" w:sz="4" w:space="0" w:color="auto"/>
              <w:right w:val="single" w:sz="4" w:space="0" w:color="auto"/>
            </w:tcBorders>
            <w:shd w:val="clear" w:color="000000" w:fill="FFFFFF"/>
            <w:vAlign w:val="bottom"/>
          </w:tcPr>
          <w:p w:rsidR="00FA278D" w:rsidRPr="007F1898" w:rsidRDefault="00FA278D" w:rsidP="00B34563">
            <w:pPr>
              <w:jc w:val="center"/>
              <w:rPr>
                <w:color w:val="000000"/>
                <w:sz w:val="18"/>
                <w:szCs w:val="18"/>
              </w:rPr>
            </w:pPr>
            <w:r>
              <w:rPr>
                <w:color w:val="000000"/>
                <w:sz w:val="18"/>
                <w:szCs w:val="18"/>
              </w:rPr>
              <w:t>7,8</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Джизакская область</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FA278D" w:rsidRPr="006B27DC" w:rsidRDefault="00FA278D" w:rsidP="00B34563">
            <w:pPr>
              <w:jc w:val="center"/>
              <w:rPr>
                <w:color w:val="000000"/>
                <w:sz w:val="18"/>
                <w:szCs w:val="18"/>
              </w:rPr>
            </w:pPr>
            <w:r w:rsidRPr="006B27DC">
              <w:rPr>
                <w:color w:val="000000"/>
                <w:sz w:val="18"/>
                <w:szCs w:val="18"/>
              </w:rPr>
              <w:t>7,2</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0,5</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2,1</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40,5</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38,0</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A278D" w:rsidRPr="006B27DC" w:rsidRDefault="00FA278D" w:rsidP="00B34563">
            <w:pPr>
              <w:jc w:val="center"/>
              <w:rPr>
                <w:color w:val="000000"/>
                <w:sz w:val="18"/>
                <w:szCs w:val="18"/>
              </w:rPr>
            </w:pPr>
            <w:r w:rsidRPr="006B27DC">
              <w:rPr>
                <w:color w:val="000000"/>
                <w:sz w:val="18"/>
                <w:szCs w:val="18"/>
              </w:rPr>
              <w:t>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A278D" w:rsidRDefault="00FA278D" w:rsidP="00B34563">
            <w:pPr>
              <w:jc w:val="center"/>
              <w:rPr>
                <w:color w:val="000000"/>
                <w:sz w:val="18"/>
                <w:szCs w:val="18"/>
              </w:rPr>
            </w:pPr>
            <w:r>
              <w:rPr>
                <w:color w:val="000000"/>
                <w:sz w:val="18"/>
                <w:szCs w:val="18"/>
              </w:rPr>
              <w:t>8,5</w:t>
            </w:r>
          </w:p>
        </w:tc>
        <w:tc>
          <w:tcPr>
            <w:tcW w:w="709" w:type="dxa"/>
            <w:tcBorders>
              <w:top w:val="single" w:sz="4" w:space="0" w:color="auto"/>
              <w:left w:val="nil"/>
              <w:bottom w:val="single" w:sz="4" w:space="0" w:color="auto"/>
              <w:right w:val="single" w:sz="4" w:space="0" w:color="auto"/>
            </w:tcBorders>
            <w:vAlign w:val="bottom"/>
          </w:tcPr>
          <w:p w:rsidR="00FA278D" w:rsidRPr="007F1898" w:rsidRDefault="00FA278D" w:rsidP="00B34563">
            <w:pPr>
              <w:jc w:val="center"/>
              <w:rPr>
                <w:color w:val="000000"/>
                <w:sz w:val="18"/>
                <w:szCs w:val="18"/>
              </w:rPr>
            </w:pPr>
            <w:r>
              <w:rPr>
                <w:color w:val="000000"/>
                <w:sz w:val="18"/>
                <w:szCs w:val="18"/>
              </w:rPr>
              <w:t>7,8</w:t>
            </w:r>
          </w:p>
        </w:tc>
      </w:tr>
      <w:tr w:rsidR="00FA278D" w:rsidTr="00B34563">
        <w:trPr>
          <w:trHeight w:val="300"/>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FA278D" w:rsidRPr="006B27DC" w:rsidRDefault="00FA278D" w:rsidP="00B34563">
            <w:pPr>
              <w:rPr>
                <w:color w:val="000000"/>
                <w:sz w:val="18"/>
                <w:szCs w:val="18"/>
              </w:rPr>
            </w:pPr>
            <w:r w:rsidRPr="006B27DC">
              <w:rPr>
                <w:color w:val="000000"/>
                <w:sz w:val="18"/>
                <w:szCs w:val="18"/>
              </w:rPr>
              <w:t>Респ. Каракалпакстан</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0,9</w:t>
            </w:r>
          </w:p>
        </w:tc>
        <w:tc>
          <w:tcPr>
            <w:tcW w:w="847"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FA278D" w:rsidRPr="006B27DC" w:rsidRDefault="00FA278D" w:rsidP="00B34563">
            <w:pPr>
              <w:jc w:val="center"/>
              <w:rPr>
                <w:color w:val="000000"/>
                <w:sz w:val="18"/>
                <w:szCs w:val="18"/>
              </w:rPr>
            </w:pPr>
            <w:r w:rsidRPr="006B27DC">
              <w:rPr>
                <w:color w:val="000000"/>
                <w:sz w:val="18"/>
                <w:szCs w:val="18"/>
              </w:rPr>
              <w:t>3,8</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31,3</w:t>
            </w:r>
          </w:p>
        </w:tc>
        <w:tc>
          <w:tcPr>
            <w:tcW w:w="994"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18,8</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FA278D" w:rsidRPr="006B27DC" w:rsidRDefault="00FA278D" w:rsidP="00B34563">
            <w:pPr>
              <w:jc w:val="center"/>
              <w:rPr>
                <w:color w:val="000000"/>
                <w:sz w:val="18"/>
                <w:szCs w:val="18"/>
              </w:rPr>
            </w:pPr>
            <w:r w:rsidRPr="006B27DC">
              <w:rPr>
                <w:color w:val="000000"/>
                <w:sz w:val="18"/>
                <w:szCs w:val="18"/>
              </w:rPr>
              <w:t>13,2</w:t>
            </w:r>
          </w:p>
        </w:tc>
        <w:tc>
          <w:tcPr>
            <w:tcW w:w="709" w:type="dxa"/>
            <w:tcBorders>
              <w:top w:val="nil"/>
              <w:left w:val="nil"/>
              <w:bottom w:val="single" w:sz="4" w:space="0" w:color="auto"/>
              <w:right w:val="single" w:sz="4" w:space="0" w:color="auto"/>
            </w:tcBorders>
            <w:shd w:val="clear" w:color="000000" w:fill="FFC000"/>
            <w:noWrap/>
            <w:vAlign w:val="bottom"/>
            <w:hideMark/>
          </w:tcPr>
          <w:p w:rsidR="00FA278D" w:rsidRPr="006B27DC" w:rsidRDefault="00FA278D" w:rsidP="00B34563">
            <w:pPr>
              <w:jc w:val="center"/>
              <w:rPr>
                <w:color w:val="000000"/>
                <w:sz w:val="18"/>
                <w:szCs w:val="18"/>
              </w:rPr>
            </w:pPr>
            <w:r w:rsidRPr="006B27DC">
              <w:rPr>
                <w:color w:val="000000"/>
                <w:sz w:val="18"/>
                <w:szCs w:val="18"/>
              </w:rPr>
              <w:t>25,4</w:t>
            </w:r>
          </w:p>
        </w:tc>
        <w:tc>
          <w:tcPr>
            <w:tcW w:w="709" w:type="dxa"/>
            <w:tcBorders>
              <w:top w:val="nil"/>
              <w:left w:val="nil"/>
              <w:bottom w:val="single" w:sz="4" w:space="0" w:color="auto"/>
              <w:right w:val="single" w:sz="4" w:space="0" w:color="auto"/>
            </w:tcBorders>
            <w:shd w:val="clear" w:color="000000" w:fill="FFFFFF"/>
            <w:noWrap/>
            <w:vAlign w:val="bottom"/>
            <w:hideMark/>
          </w:tcPr>
          <w:p w:rsidR="00FA278D" w:rsidRDefault="00FA278D" w:rsidP="00B34563">
            <w:pPr>
              <w:jc w:val="center"/>
              <w:rPr>
                <w:color w:val="000000"/>
                <w:sz w:val="18"/>
                <w:szCs w:val="18"/>
              </w:rPr>
            </w:pPr>
            <w:r>
              <w:rPr>
                <w:color w:val="000000"/>
                <w:sz w:val="18"/>
                <w:szCs w:val="18"/>
              </w:rPr>
              <w:t>9,5</w:t>
            </w:r>
          </w:p>
        </w:tc>
        <w:tc>
          <w:tcPr>
            <w:tcW w:w="709" w:type="dxa"/>
            <w:tcBorders>
              <w:top w:val="nil"/>
              <w:left w:val="nil"/>
              <w:bottom w:val="single" w:sz="4" w:space="0" w:color="auto"/>
              <w:right w:val="single" w:sz="4" w:space="0" w:color="auto"/>
            </w:tcBorders>
            <w:shd w:val="clear" w:color="000000" w:fill="FFFFFF"/>
            <w:vAlign w:val="bottom"/>
          </w:tcPr>
          <w:p w:rsidR="00FA278D" w:rsidRPr="007F1898" w:rsidRDefault="00FA278D" w:rsidP="00B34563">
            <w:pPr>
              <w:jc w:val="center"/>
              <w:rPr>
                <w:color w:val="000000"/>
                <w:sz w:val="18"/>
                <w:szCs w:val="18"/>
              </w:rPr>
            </w:pPr>
            <w:r>
              <w:rPr>
                <w:color w:val="000000"/>
                <w:sz w:val="18"/>
                <w:szCs w:val="18"/>
              </w:rPr>
              <w:t>9,1</w:t>
            </w:r>
          </w:p>
        </w:tc>
      </w:tr>
    </w:tbl>
    <w:p w:rsidR="00455FBA" w:rsidRDefault="00455FBA" w:rsidP="00455FBA">
      <w:pPr>
        <w:spacing w:before="120"/>
        <w:jc w:val="both"/>
      </w:pPr>
      <w:r>
        <w:t xml:space="preserve">Самую высокую долю в промышленной продукции </w:t>
      </w:r>
      <w:r w:rsidRPr="007E21FC">
        <w:rPr>
          <w:b/>
          <w:i/>
        </w:rPr>
        <w:t>регионов с низким уровнем ЭИЧР</w:t>
      </w:r>
      <w:r w:rsidRPr="007E21FC">
        <w:rPr>
          <w:i/>
        </w:rPr>
        <w:t xml:space="preserve"> </w:t>
      </w:r>
      <w:r>
        <w:t xml:space="preserve">занимают: </w:t>
      </w:r>
      <w:r w:rsidRPr="003C3EF2">
        <w:rPr>
          <w:b/>
          <w:i/>
        </w:rPr>
        <w:t>топливная промышленность и электроэнергетика</w:t>
      </w:r>
      <w:r>
        <w:t xml:space="preserve"> - около 67%, в том числе </w:t>
      </w:r>
      <w:r w:rsidR="00142305">
        <w:t>в</w:t>
      </w:r>
      <w:r>
        <w:t xml:space="preserve"> Кашкадарьинской области – 78,9%, Сырдарьинской области – 60,4%, Республике Каракалпакстан - 38,6%. Исключением является Джизакская область, которая специализируется на отраслях по переработке сельскохозяйственной продукции (легкой, пищевой, м</w:t>
      </w:r>
      <w:r w:rsidRPr="00C332E6">
        <w:t>укомольно-крупян</w:t>
      </w:r>
      <w:r>
        <w:t>ой</w:t>
      </w:r>
      <w:r w:rsidRPr="00C332E6">
        <w:t xml:space="preserve"> и комбикормов</w:t>
      </w:r>
      <w:r>
        <w:t>ой промышленности – 78,4%). Эти же отрасли занимают высокую долю и в промышленном производстве Каракалпакстана (50,1%), а также в Сырдарьинской области – 36,7%.</w:t>
      </w:r>
    </w:p>
    <w:p w:rsidR="00455FBA" w:rsidRDefault="007422C5" w:rsidP="00455FBA">
      <w:pPr>
        <w:spacing w:before="120"/>
        <w:jc w:val="both"/>
      </w:pPr>
      <w:r>
        <w:t>Отметим, что благодаря топливной промышленности и электроэнергетике Кашкадарьинская и Сырдарьинская области являются регионами с достаточно высокой долей промышленности в ВРП (33,3% и 17,5%, что соответствует 3 и 7 месту в рейтинге регионов по доли промышленности в ВРП). Но</w:t>
      </w:r>
      <w:r w:rsidR="00D76B05">
        <w:t>,</w:t>
      </w:r>
      <w:r>
        <w:t xml:space="preserve"> не смотря на это</w:t>
      </w:r>
      <w:r w:rsidR="00D76B05">
        <w:t>,</w:t>
      </w:r>
      <w:r>
        <w:t xml:space="preserve"> обе области находятся в категории с низким ЭИЧР. </w:t>
      </w:r>
      <w:r w:rsidR="00207E54">
        <w:t>Относительно н</w:t>
      </w:r>
      <w:r w:rsidR="00455FBA">
        <w:t>изкая способность топливной промышленности и энергетик</w:t>
      </w:r>
      <w:r w:rsidR="00142305">
        <w:t>и</w:t>
      </w:r>
      <w:r w:rsidR="00455FBA">
        <w:t xml:space="preserve"> </w:t>
      </w:r>
      <w:r w:rsidR="00142305">
        <w:t>к</w:t>
      </w:r>
      <w:r w:rsidR="00455FBA">
        <w:t xml:space="preserve"> генераци</w:t>
      </w:r>
      <w:r w:rsidR="00142305">
        <w:t>и</w:t>
      </w:r>
      <w:r w:rsidR="00455FBA">
        <w:t xml:space="preserve"> доходов на местном уровне</w:t>
      </w:r>
      <w:r w:rsidR="00F22706">
        <w:rPr>
          <w:rStyle w:val="a5"/>
        </w:rPr>
        <w:footnoteReference w:id="18"/>
      </w:r>
      <w:r w:rsidR="00455FBA">
        <w:t>, видимо, обусловлена тем, что: а) данные отрасли очень капиталоемки, а, следовательно, доля расходов на заработную плату в общем объеме производства не велика</w:t>
      </w:r>
      <w:r w:rsidR="00FC1B96">
        <w:t xml:space="preserve"> (к примеру, в Кашкадарьинской области доля промышленности в В</w:t>
      </w:r>
      <w:r w:rsidR="008B28F0">
        <w:t>Р</w:t>
      </w:r>
      <w:r w:rsidR="00FC1B96">
        <w:t>П составляет 33,3%, а доля занятых в промышленности – только 7,8%</w:t>
      </w:r>
      <w:r w:rsidR="00B21326">
        <w:rPr>
          <w:rStyle w:val="a5"/>
        </w:rPr>
        <w:footnoteReference w:id="19"/>
      </w:r>
      <w:r w:rsidR="00FC1B96">
        <w:t>)</w:t>
      </w:r>
      <w:r w:rsidR="00455FBA">
        <w:t xml:space="preserve">, б) доходы топливной промышленности и энергетики </w:t>
      </w:r>
      <w:r w:rsidR="00455FBA">
        <w:lastRenderedPageBreak/>
        <w:t>распределяются централизованно</w:t>
      </w:r>
      <w:r>
        <w:rPr>
          <w:rStyle w:val="a5"/>
        </w:rPr>
        <w:footnoteReference w:id="20"/>
      </w:r>
      <w:r w:rsidR="00455FBA">
        <w:t>, а, следовательно</w:t>
      </w:r>
      <w:r w:rsidR="00D76333">
        <w:t>,</w:t>
      </w:r>
      <w:r w:rsidR="00455FBA">
        <w:t xml:space="preserve"> перераспределяются между регионами. Как следствие, население регионов много не выигрывает от наличия этих отраслей на их территории, точнее</w:t>
      </w:r>
      <w:r w:rsidR="00D76B05">
        <w:t>:</w:t>
      </w:r>
      <w:r w:rsidR="00455FBA">
        <w:t xml:space="preserve"> выигрывает примерно столько же, сколько и остальные жители страны. </w:t>
      </w:r>
    </w:p>
    <w:p w:rsidR="00455FBA" w:rsidRDefault="00455FBA" w:rsidP="00455FBA">
      <w:pPr>
        <w:spacing w:before="120"/>
        <w:jc w:val="both"/>
      </w:pPr>
      <w:r w:rsidRPr="007E21FC">
        <w:rPr>
          <w:b/>
          <w:i/>
        </w:rPr>
        <w:t>Регионы со средним уровнем ЭИЧР</w:t>
      </w:r>
      <w:r>
        <w:t xml:space="preserve"> отличаются как от регионов с высоким, так и низким уровнем ЭИЧР более значительной долей отраслей, перерабатывающих сельскохозяйственную продукцию: </w:t>
      </w:r>
      <w:r w:rsidRPr="005C6E9C">
        <w:rPr>
          <w:b/>
          <w:i/>
        </w:rPr>
        <w:t>легкой, пищевой, мукомольно-крупяной и комбикормовой промышленности</w:t>
      </w:r>
      <w:r>
        <w:rPr>
          <w:b/>
          <w:i/>
        </w:rPr>
        <w:t xml:space="preserve"> </w:t>
      </w:r>
      <w:r w:rsidRPr="00C332E6">
        <w:t>(53% от общего производства промышленной продукции этих регионов)</w:t>
      </w:r>
      <w:r>
        <w:t xml:space="preserve">. Это говорит о том, что данные отрасли способны обеспечивать </w:t>
      </w:r>
      <w:r w:rsidR="00FC1B96">
        <w:t xml:space="preserve">приемлемый уровень </w:t>
      </w:r>
      <w:r>
        <w:t>доходов, хотя и меньший, нежели металлургия</w:t>
      </w:r>
      <w:r w:rsidR="008B28F0">
        <w:t>,</w:t>
      </w:r>
      <w:r>
        <w:t xml:space="preserve"> машиностроение</w:t>
      </w:r>
      <w:r w:rsidR="008B28F0">
        <w:t>, химическая и нефтехимическая промышленность</w:t>
      </w:r>
      <w:r>
        <w:t>. В реги</w:t>
      </w:r>
      <w:r w:rsidR="00D76333">
        <w:t>о</w:t>
      </w:r>
      <w:r>
        <w:t>нах со средним уровнем ЭИЧР также развиты топливная промышленность и электроэнергетика (28,4% промышленного производства). Топливная промышленность в наибольшей степени развита в Ферганской области, здесь на нее приходится 43,3% промышленного производства. Кроме того, важное место в отраслевой структур</w:t>
      </w:r>
      <w:r w:rsidR="007E21FC">
        <w:t>е</w:t>
      </w:r>
      <w:r>
        <w:t xml:space="preserve"> экономики этого региона занимает химическая и нефтехимическая промышленность - 8,7%. Отметим схожесть отраслевой структуры промышленного производства Ферганской и Бухарской областей. Видимо не случайно эти два региона находятся рядом в рейтинге ЭИЧР, </w:t>
      </w:r>
      <w:r w:rsidR="002B4F33">
        <w:t>хотя и</w:t>
      </w:r>
      <w:r>
        <w:t xml:space="preserve"> попали они в разные группы. </w:t>
      </w:r>
      <w:r w:rsidR="00142305">
        <w:t xml:space="preserve">Да и по доле промышленности в ВРП Ферганская область ближе </w:t>
      </w:r>
      <w:r w:rsidR="007E21FC">
        <w:t>к</w:t>
      </w:r>
      <w:r w:rsidR="00142305">
        <w:t xml:space="preserve"> первой группе (22,6%).</w:t>
      </w:r>
      <w:r>
        <w:t xml:space="preserve"> </w:t>
      </w:r>
    </w:p>
    <w:p w:rsidR="00455FBA" w:rsidRDefault="00455FBA" w:rsidP="00455FBA">
      <w:pPr>
        <w:spacing w:before="120"/>
        <w:jc w:val="both"/>
      </w:pPr>
      <w:r w:rsidRPr="00142305">
        <w:t xml:space="preserve">Что касается Ташкента, то его структура промышленного производства довольно диверсифицирована. Наиболее высока доля машиностроения и металлообработки (30,9%) и пищевой промышленности (20,8%). </w:t>
      </w:r>
    </w:p>
    <w:p w:rsidR="002E1C5B" w:rsidRDefault="002E1C5B" w:rsidP="002E1C5B">
      <w:pPr>
        <w:spacing w:before="120"/>
        <w:jc w:val="both"/>
      </w:pPr>
      <w:r w:rsidRPr="00F80C95">
        <w:rPr>
          <w:b/>
        </w:rPr>
        <w:t>Аграрная специализация регионов</w:t>
      </w:r>
      <w:r>
        <w:t xml:space="preserve">. Далее рассмотрим отраслевую структуру </w:t>
      </w:r>
      <w:r w:rsidRPr="00F80C95">
        <w:t xml:space="preserve">сельскохозяйственного производства в разрезе регионов. Между регионами с разным </w:t>
      </w:r>
      <w:r>
        <w:t xml:space="preserve">уровнем ЭИЧР нет значимых различий в объеме производства продукции животноводства и растениеводства на одного занятого (занятые по экономике в целом) – см. </w:t>
      </w:r>
      <w:r w:rsidRPr="005315D0">
        <w:rPr>
          <w:highlight w:val="yellow"/>
        </w:rPr>
        <w:t xml:space="preserve">Таблицу </w:t>
      </w:r>
      <w:r w:rsidR="000D0B1C">
        <w:rPr>
          <w:highlight w:val="yellow"/>
        </w:rPr>
        <w:t>2.6</w:t>
      </w:r>
      <w:r>
        <w:t xml:space="preserve">. Однако такие различия имеются в структуре отраслей растениеводства (см. </w:t>
      </w:r>
      <w:r w:rsidRPr="0019725E">
        <w:rPr>
          <w:highlight w:val="yellow"/>
        </w:rPr>
        <w:t xml:space="preserve">Рисунок </w:t>
      </w:r>
      <w:r w:rsidR="000D0B1C">
        <w:rPr>
          <w:highlight w:val="yellow"/>
        </w:rPr>
        <w:t>2.11</w:t>
      </w:r>
      <w:r>
        <w:t xml:space="preserve">). </w:t>
      </w:r>
      <w:r w:rsidRPr="00EF6275">
        <w:t xml:space="preserve">В регионах с низким уровнем ЭИЧР на </w:t>
      </w:r>
      <w:r w:rsidRPr="00EF6275">
        <w:rPr>
          <w:b/>
          <w:i/>
        </w:rPr>
        <w:t>хлопок и зерновые</w:t>
      </w:r>
      <w:r w:rsidRPr="00EF6275">
        <w:t xml:space="preserve"> – культуры выращиваемые по государственному заказу – приходится почти 73% продукции растениеводства. Для сравнения: в регионах с высоким уровнем ЭИЧР эта цифра составляет 45%, в регионах со средним уровнем ЭИЧР – более 48%. </w:t>
      </w:r>
      <w:r>
        <w:t>Иными словами,</w:t>
      </w:r>
      <w:r w:rsidRPr="00EF6275">
        <w:t xml:space="preserve"> регионы с высоким и средним уровнем ЭИЧР специализируются на культурах, свободных от государственного заказа: </w:t>
      </w:r>
      <w:r w:rsidRPr="00EF6275">
        <w:rPr>
          <w:b/>
          <w:i/>
        </w:rPr>
        <w:t>овощах, плодах и ягодах, картофеле, винограде</w:t>
      </w:r>
      <w:r w:rsidRPr="00EF6275">
        <w:t>.</w:t>
      </w:r>
      <w:r w:rsidR="00D76B05">
        <w:t xml:space="preserve"> </w:t>
      </w:r>
      <w:r>
        <w:t xml:space="preserve">Соответственно можно сделать вывод о том, что </w:t>
      </w:r>
      <w:r w:rsidRPr="002E4F54">
        <w:rPr>
          <w:b/>
          <w:i/>
        </w:rPr>
        <w:t>специализация на культурах свободных от государственного заказа положительно влияет на уровень жизни населения регионов</w:t>
      </w:r>
      <w:r>
        <w:t>.</w:t>
      </w:r>
    </w:p>
    <w:p w:rsidR="002E1C5B" w:rsidRDefault="002E1C5B" w:rsidP="002E1C5B">
      <w:pPr>
        <w:spacing w:before="120"/>
        <w:jc w:val="both"/>
      </w:pPr>
      <w:r>
        <w:t>Между тем эффективной специализации аграрных секторов регионов препятствует н</w:t>
      </w:r>
      <w:r w:rsidRPr="00FA35EA">
        <w:t xml:space="preserve">аличие </w:t>
      </w:r>
      <w:r w:rsidRPr="00405C3A">
        <w:rPr>
          <w:b/>
          <w:i/>
        </w:rPr>
        <w:t>административных ограничений на внутрихозяйственный оборот земли</w:t>
      </w:r>
      <w:r w:rsidRPr="00FD7637">
        <w:rPr>
          <w:b/>
          <w:i/>
        </w:rPr>
        <w:t xml:space="preserve"> в фермерских хозяйствах</w:t>
      </w:r>
      <w:r w:rsidRPr="00FA35EA">
        <w:t xml:space="preserve">, связанный с существующими нормативами обязательного распределения земель под хлопчатник и </w:t>
      </w:r>
      <w:r>
        <w:t>зерновые</w:t>
      </w:r>
      <w:r w:rsidRPr="00FA35EA">
        <w:t xml:space="preserve">. </w:t>
      </w:r>
      <w:r>
        <w:t>При заключении арендного договора</w:t>
      </w:r>
      <w:r w:rsidRPr="00E50061">
        <w:t xml:space="preserve"> </w:t>
      </w:r>
      <w:r>
        <w:t xml:space="preserve">для </w:t>
      </w:r>
      <w:r w:rsidRPr="00E50061">
        <w:t xml:space="preserve">фермерских хозяйств определяются точные площади, где должны быть посеяны хлопок и </w:t>
      </w:r>
      <w:r>
        <w:t>зерновые</w:t>
      </w:r>
      <w:r w:rsidRPr="00E50061">
        <w:t xml:space="preserve">. Любое отклонение от </w:t>
      </w:r>
      <w:r>
        <w:t xml:space="preserve">предписанной </w:t>
      </w:r>
      <w:r w:rsidRPr="00E50061">
        <w:t>структуры посевов рассматрива</w:t>
      </w:r>
      <w:r>
        <w:t>е</w:t>
      </w:r>
      <w:r w:rsidRPr="00E50061">
        <w:t xml:space="preserve">тся как серьезное нарушение, создающее основание для расторжения </w:t>
      </w:r>
      <w:r>
        <w:t xml:space="preserve">арендного </w:t>
      </w:r>
      <w:r w:rsidRPr="00E50061">
        <w:t xml:space="preserve">договора. </w:t>
      </w:r>
      <w:r>
        <w:t>Кроме того,</w:t>
      </w:r>
      <w:r w:rsidRPr="00E50061">
        <w:t xml:space="preserve"> </w:t>
      </w:r>
      <w:r w:rsidR="000D0B1C">
        <w:t>«</w:t>
      </w:r>
      <w:r w:rsidRPr="00E50061">
        <w:t>Закон о фермерских хозяйствах</w:t>
      </w:r>
      <w:r w:rsidR="000D0B1C">
        <w:t>»</w:t>
      </w:r>
      <w:r w:rsidRPr="00E50061">
        <w:t xml:space="preserve"> предусматривает, что арендованная земля, должна обрабатываться с должным усердием, чтобы произвести некоторый минимальный урожай хлопка и </w:t>
      </w:r>
      <w:r>
        <w:t>зерновых</w:t>
      </w:r>
      <w:r w:rsidRPr="00E50061">
        <w:t xml:space="preserve"> с </w:t>
      </w:r>
      <w:r w:rsidR="002C61DC">
        <w:t>одного гектара</w:t>
      </w:r>
      <w:r w:rsidRPr="00E50061">
        <w:t xml:space="preserve">. Таким образом, государство фактически устанавливает обязательный государственный заказ на эти культуры. Ежегодно </w:t>
      </w:r>
      <w:r>
        <w:t>фермеры</w:t>
      </w:r>
      <w:r w:rsidRPr="00E50061">
        <w:t xml:space="preserve"> получают обязательные плановые задания на производство </w:t>
      </w:r>
      <w:r w:rsidRPr="00E50061">
        <w:lastRenderedPageBreak/>
        <w:t xml:space="preserve">хлопка и </w:t>
      </w:r>
      <w:r>
        <w:t>зерновых</w:t>
      </w:r>
      <w:r w:rsidRPr="00E50061">
        <w:t xml:space="preserve">. При этом отсутствуют четко прописанные правила, в соответствии с которыми происходит распределение плановых заданий. </w:t>
      </w:r>
      <w:r>
        <w:t xml:space="preserve">Цены на продаваемые по госзаказу хлопок-сырец и зерно устанавливаются государством. Госзаказ на хлопок-сырец составляет 100% планового урожая. Госзаказ на озимые зерновые составляет 50%. Считается, что половина урожая зерна остается у фермеров, которое они используют в хозяйстве или реализуют на рынке. Но зачастую у фермеров остается менее 50% урожая, так как они не достигают плановой урожайности. </w:t>
      </w:r>
    </w:p>
    <w:p w:rsidR="00EF6275" w:rsidRDefault="00EF6275" w:rsidP="00EF6275">
      <w:pPr>
        <w:spacing w:before="120"/>
        <w:jc w:val="both"/>
      </w:pPr>
      <w:r w:rsidRPr="00FF07A1">
        <w:rPr>
          <w:b/>
        </w:rPr>
        <w:t xml:space="preserve">Таблица </w:t>
      </w:r>
      <w:r w:rsidR="000D0B1C">
        <w:rPr>
          <w:b/>
        </w:rPr>
        <w:t>2</w:t>
      </w:r>
      <w:r w:rsidRPr="00FF07A1">
        <w:rPr>
          <w:b/>
        </w:rPr>
        <w:t>.</w:t>
      </w:r>
      <w:r w:rsidR="000D0B1C">
        <w:rPr>
          <w:b/>
        </w:rPr>
        <w:t>6</w:t>
      </w:r>
      <w:r w:rsidRPr="00FF07A1">
        <w:rPr>
          <w:b/>
        </w:rPr>
        <w:t xml:space="preserve"> </w:t>
      </w:r>
      <w:r>
        <w:rPr>
          <w:b/>
        </w:rPr>
        <w:t>Сельскохозяйственная продукция на одного занятого (во всех отраслях экономики)</w:t>
      </w:r>
      <w:r w:rsidRPr="00FF07A1">
        <w:rPr>
          <w:b/>
        </w:rPr>
        <w:t xml:space="preserve">, </w:t>
      </w:r>
      <w:r>
        <w:rPr>
          <w:b/>
        </w:rPr>
        <w:t xml:space="preserve">средние значения за 2004-2008 гг., </w:t>
      </w:r>
      <w:r w:rsidRPr="00FF07A1">
        <w:rPr>
          <w:b/>
        </w:rPr>
        <w:t xml:space="preserve">в тыс. </w:t>
      </w:r>
      <w:r>
        <w:rPr>
          <w:b/>
        </w:rPr>
        <w:t>сумм (в ценах 2005 г.)</w:t>
      </w:r>
      <w:r w:rsidR="00237823">
        <w:rPr>
          <w:b/>
        </w:rPr>
        <w:t>.</w:t>
      </w: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980"/>
        <w:gridCol w:w="1984"/>
        <w:gridCol w:w="1843"/>
      </w:tblGrid>
      <w:tr w:rsidR="00EF6275" w:rsidRPr="006F3FAD" w:rsidTr="00EF6275">
        <w:trPr>
          <w:trHeight w:val="300"/>
        </w:trPr>
        <w:tc>
          <w:tcPr>
            <w:tcW w:w="3415" w:type="dxa"/>
            <w:shd w:val="clear" w:color="auto" w:fill="auto"/>
            <w:vAlign w:val="center"/>
            <w:hideMark/>
          </w:tcPr>
          <w:p w:rsidR="00EF6275" w:rsidRPr="006F3FAD" w:rsidRDefault="00EF6275" w:rsidP="00EF6275">
            <w:pPr>
              <w:rPr>
                <w:color w:val="FFFFFF"/>
                <w:sz w:val="20"/>
                <w:szCs w:val="20"/>
              </w:rPr>
            </w:pPr>
            <w:r w:rsidRPr="006F3FAD">
              <w:rPr>
                <w:color w:val="FFFFFF"/>
                <w:sz w:val="20"/>
                <w:szCs w:val="20"/>
              </w:rPr>
              <w:t> </w:t>
            </w:r>
          </w:p>
        </w:tc>
        <w:tc>
          <w:tcPr>
            <w:tcW w:w="1980" w:type="dxa"/>
            <w:shd w:val="clear" w:color="auto" w:fill="auto"/>
            <w:noWrap/>
            <w:vAlign w:val="bottom"/>
            <w:hideMark/>
          </w:tcPr>
          <w:p w:rsidR="00EF6275" w:rsidRPr="006F3FAD" w:rsidRDefault="00EF6275" w:rsidP="00EF6275">
            <w:pPr>
              <w:rPr>
                <w:color w:val="000000"/>
                <w:sz w:val="20"/>
                <w:szCs w:val="20"/>
              </w:rPr>
            </w:pPr>
            <w:r w:rsidRPr="006F3FAD">
              <w:rPr>
                <w:color w:val="000000"/>
                <w:sz w:val="20"/>
                <w:szCs w:val="20"/>
              </w:rPr>
              <w:t>Регионы с высоким уровнем ЭИЧР</w:t>
            </w:r>
          </w:p>
        </w:tc>
        <w:tc>
          <w:tcPr>
            <w:tcW w:w="1984" w:type="dxa"/>
            <w:shd w:val="clear" w:color="auto" w:fill="auto"/>
            <w:noWrap/>
            <w:vAlign w:val="bottom"/>
            <w:hideMark/>
          </w:tcPr>
          <w:p w:rsidR="00EF6275" w:rsidRPr="006F3FAD" w:rsidRDefault="00EF6275" w:rsidP="00EF6275">
            <w:pPr>
              <w:rPr>
                <w:color w:val="000000"/>
                <w:sz w:val="20"/>
                <w:szCs w:val="20"/>
              </w:rPr>
            </w:pPr>
            <w:r w:rsidRPr="006F3FAD">
              <w:rPr>
                <w:color w:val="000000"/>
                <w:sz w:val="20"/>
                <w:szCs w:val="20"/>
              </w:rPr>
              <w:t>Регионы со средним уровнем ЭИЧР</w:t>
            </w:r>
          </w:p>
        </w:tc>
        <w:tc>
          <w:tcPr>
            <w:tcW w:w="1843" w:type="dxa"/>
            <w:shd w:val="clear" w:color="auto" w:fill="auto"/>
            <w:noWrap/>
            <w:vAlign w:val="bottom"/>
            <w:hideMark/>
          </w:tcPr>
          <w:p w:rsidR="00EF6275" w:rsidRPr="006F3FAD" w:rsidRDefault="00EF6275" w:rsidP="00EF6275">
            <w:pPr>
              <w:rPr>
                <w:color w:val="000000"/>
                <w:sz w:val="20"/>
                <w:szCs w:val="20"/>
              </w:rPr>
            </w:pPr>
            <w:r w:rsidRPr="006F3FAD">
              <w:rPr>
                <w:color w:val="000000"/>
                <w:sz w:val="20"/>
                <w:szCs w:val="20"/>
              </w:rPr>
              <w:t>Регионы с низким уровнем ЭИЧР</w:t>
            </w:r>
          </w:p>
        </w:tc>
      </w:tr>
      <w:tr w:rsidR="00EF6275" w:rsidRPr="006F3FAD" w:rsidTr="007376F2">
        <w:trPr>
          <w:trHeight w:val="368"/>
        </w:trPr>
        <w:tc>
          <w:tcPr>
            <w:tcW w:w="3415" w:type="dxa"/>
            <w:shd w:val="clear" w:color="auto" w:fill="auto"/>
            <w:vAlign w:val="center"/>
            <w:hideMark/>
          </w:tcPr>
          <w:p w:rsidR="00EF6275" w:rsidRPr="00EF6275" w:rsidRDefault="00EF6275" w:rsidP="00EF6275">
            <w:pPr>
              <w:rPr>
                <w:b/>
                <w:color w:val="000000"/>
                <w:sz w:val="20"/>
                <w:szCs w:val="20"/>
              </w:rPr>
            </w:pPr>
            <w:r w:rsidRPr="00EF6275">
              <w:rPr>
                <w:b/>
                <w:color w:val="000000"/>
                <w:sz w:val="20"/>
                <w:szCs w:val="20"/>
              </w:rPr>
              <w:t>Продукция сельского хозяйства</w:t>
            </w:r>
          </w:p>
        </w:tc>
        <w:tc>
          <w:tcPr>
            <w:tcW w:w="1980" w:type="dxa"/>
            <w:shd w:val="clear" w:color="auto" w:fill="auto"/>
            <w:noWrap/>
            <w:vAlign w:val="center"/>
            <w:hideMark/>
          </w:tcPr>
          <w:p w:rsidR="00EF6275" w:rsidRPr="00EF6275" w:rsidRDefault="00EF6275" w:rsidP="00EF6275">
            <w:pPr>
              <w:jc w:val="center"/>
              <w:rPr>
                <w:b/>
                <w:color w:val="000000"/>
                <w:sz w:val="20"/>
                <w:szCs w:val="20"/>
              </w:rPr>
            </w:pPr>
            <w:r w:rsidRPr="00EF6275">
              <w:rPr>
                <w:b/>
                <w:color w:val="000000"/>
                <w:sz w:val="20"/>
                <w:szCs w:val="20"/>
              </w:rPr>
              <w:t>674,1</w:t>
            </w:r>
          </w:p>
        </w:tc>
        <w:tc>
          <w:tcPr>
            <w:tcW w:w="1984" w:type="dxa"/>
            <w:shd w:val="clear" w:color="auto" w:fill="auto"/>
            <w:noWrap/>
            <w:vAlign w:val="center"/>
            <w:hideMark/>
          </w:tcPr>
          <w:p w:rsidR="00EF6275" w:rsidRPr="00EF6275" w:rsidRDefault="00EF6275" w:rsidP="00EF6275">
            <w:pPr>
              <w:jc w:val="center"/>
              <w:rPr>
                <w:b/>
                <w:color w:val="000000"/>
                <w:sz w:val="20"/>
                <w:szCs w:val="20"/>
              </w:rPr>
            </w:pPr>
            <w:r w:rsidRPr="00EF6275">
              <w:rPr>
                <w:b/>
                <w:color w:val="000000"/>
                <w:sz w:val="20"/>
                <w:szCs w:val="20"/>
              </w:rPr>
              <w:t>637,6</w:t>
            </w:r>
          </w:p>
        </w:tc>
        <w:tc>
          <w:tcPr>
            <w:tcW w:w="1843" w:type="dxa"/>
            <w:shd w:val="clear" w:color="auto" w:fill="auto"/>
            <w:noWrap/>
            <w:vAlign w:val="center"/>
            <w:hideMark/>
          </w:tcPr>
          <w:p w:rsidR="00EF6275" w:rsidRPr="00EF6275" w:rsidRDefault="00EF6275" w:rsidP="00EF6275">
            <w:pPr>
              <w:jc w:val="center"/>
              <w:rPr>
                <w:b/>
                <w:color w:val="000000"/>
                <w:sz w:val="20"/>
                <w:szCs w:val="20"/>
              </w:rPr>
            </w:pPr>
            <w:r w:rsidRPr="00EF6275">
              <w:rPr>
                <w:b/>
                <w:color w:val="000000"/>
                <w:sz w:val="20"/>
                <w:szCs w:val="20"/>
              </w:rPr>
              <w:t>660,0</w:t>
            </w:r>
          </w:p>
        </w:tc>
      </w:tr>
      <w:tr w:rsidR="00EF6275" w:rsidRPr="006F3FAD" w:rsidTr="00EF6275">
        <w:trPr>
          <w:trHeight w:val="300"/>
        </w:trPr>
        <w:tc>
          <w:tcPr>
            <w:tcW w:w="3415" w:type="dxa"/>
            <w:shd w:val="clear" w:color="auto" w:fill="auto"/>
            <w:vAlign w:val="center"/>
            <w:hideMark/>
          </w:tcPr>
          <w:p w:rsidR="00EF6275" w:rsidRPr="00533557" w:rsidRDefault="00EF6275" w:rsidP="00EF6275">
            <w:pPr>
              <w:rPr>
                <w:b/>
                <w:i/>
                <w:color w:val="000000"/>
                <w:sz w:val="20"/>
                <w:szCs w:val="20"/>
              </w:rPr>
            </w:pPr>
            <w:r w:rsidRPr="00533557">
              <w:rPr>
                <w:b/>
                <w:i/>
                <w:color w:val="000000"/>
                <w:sz w:val="20"/>
                <w:szCs w:val="20"/>
              </w:rPr>
              <w:t>Продукция животноводства</w:t>
            </w:r>
          </w:p>
        </w:tc>
        <w:tc>
          <w:tcPr>
            <w:tcW w:w="1980"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306,0</w:t>
            </w:r>
          </w:p>
        </w:tc>
        <w:tc>
          <w:tcPr>
            <w:tcW w:w="1984"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285,4</w:t>
            </w:r>
          </w:p>
        </w:tc>
        <w:tc>
          <w:tcPr>
            <w:tcW w:w="1843"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309,0</w:t>
            </w:r>
          </w:p>
        </w:tc>
      </w:tr>
      <w:tr w:rsidR="00EF6275" w:rsidRPr="006F3FAD" w:rsidTr="00EF6275">
        <w:trPr>
          <w:trHeight w:val="300"/>
        </w:trPr>
        <w:tc>
          <w:tcPr>
            <w:tcW w:w="3415" w:type="dxa"/>
            <w:shd w:val="clear" w:color="auto" w:fill="auto"/>
            <w:vAlign w:val="center"/>
            <w:hideMark/>
          </w:tcPr>
          <w:p w:rsidR="00EF6275" w:rsidRPr="00533557" w:rsidRDefault="00EF6275" w:rsidP="00EF6275">
            <w:pPr>
              <w:rPr>
                <w:b/>
                <w:i/>
                <w:color w:val="000000"/>
                <w:sz w:val="20"/>
                <w:szCs w:val="20"/>
              </w:rPr>
            </w:pPr>
            <w:r w:rsidRPr="00533557">
              <w:rPr>
                <w:b/>
                <w:i/>
                <w:color w:val="000000"/>
                <w:sz w:val="20"/>
                <w:szCs w:val="20"/>
              </w:rPr>
              <w:t>Продукция растениеводства</w:t>
            </w:r>
          </w:p>
        </w:tc>
        <w:tc>
          <w:tcPr>
            <w:tcW w:w="1980"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380,4</w:t>
            </w:r>
          </w:p>
        </w:tc>
        <w:tc>
          <w:tcPr>
            <w:tcW w:w="1984"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362,7</w:t>
            </w:r>
          </w:p>
        </w:tc>
        <w:tc>
          <w:tcPr>
            <w:tcW w:w="1843" w:type="dxa"/>
            <w:shd w:val="clear" w:color="auto" w:fill="auto"/>
            <w:noWrap/>
            <w:vAlign w:val="center"/>
            <w:hideMark/>
          </w:tcPr>
          <w:p w:rsidR="00EF6275" w:rsidRPr="00533557" w:rsidRDefault="00EF6275" w:rsidP="00EF6275">
            <w:pPr>
              <w:jc w:val="center"/>
              <w:rPr>
                <w:b/>
                <w:i/>
                <w:color w:val="000000"/>
                <w:sz w:val="20"/>
                <w:szCs w:val="20"/>
              </w:rPr>
            </w:pPr>
            <w:r w:rsidRPr="00533557">
              <w:rPr>
                <w:b/>
                <w:i/>
                <w:color w:val="000000"/>
                <w:sz w:val="20"/>
                <w:szCs w:val="20"/>
              </w:rPr>
              <w:t>354,5</w:t>
            </w:r>
          </w:p>
        </w:tc>
      </w:tr>
      <w:tr w:rsidR="00EF6275" w:rsidRPr="006F3FAD" w:rsidTr="00EF6275">
        <w:trPr>
          <w:trHeight w:val="30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В том числе:</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 </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 </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 </w:t>
            </w:r>
          </w:p>
        </w:tc>
      </w:tr>
      <w:tr w:rsidR="00EF6275" w:rsidRPr="006F3FAD" w:rsidTr="00EF6275">
        <w:trPr>
          <w:trHeight w:val="30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 xml:space="preserve">Производство хлопка </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93,9</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88,7</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147,9</w:t>
            </w:r>
          </w:p>
        </w:tc>
      </w:tr>
      <w:tr w:rsidR="00EF6275" w:rsidRPr="006F3FAD" w:rsidTr="00EF6275">
        <w:trPr>
          <w:trHeight w:val="33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Производство зерновых культур</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71,4</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81,8</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107,7</w:t>
            </w:r>
          </w:p>
        </w:tc>
      </w:tr>
      <w:tr w:rsidR="00EF6275" w:rsidRPr="006F3FAD" w:rsidTr="00EF6275">
        <w:trPr>
          <w:trHeight w:val="30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 xml:space="preserve">Производство овощей </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79,0</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52,1</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31,7</w:t>
            </w:r>
          </w:p>
        </w:tc>
      </w:tr>
      <w:tr w:rsidR="00EF6275" w:rsidRPr="006F3FAD" w:rsidTr="00EF6275">
        <w:trPr>
          <w:trHeight w:val="30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Производство плодов и ягод</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42,4</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33,6</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13,8</w:t>
            </w:r>
          </w:p>
        </w:tc>
      </w:tr>
      <w:tr w:rsidR="00EF6275" w:rsidRPr="006F3FAD" w:rsidTr="00EF6275">
        <w:trPr>
          <w:trHeight w:val="36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Производ</w:t>
            </w:r>
            <w:r>
              <w:rPr>
                <w:color w:val="000000"/>
                <w:sz w:val="20"/>
                <w:szCs w:val="20"/>
              </w:rPr>
              <w:t>с</w:t>
            </w:r>
            <w:r w:rsidRPr="006F3FAD">
              <w:rPr>
                <w:color w:val="000000"/>
                <w:sz w:val="20"/>
                <w:szCs w:val="20"/>
              </w:rPr>
              <w:t>тво картофеля</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36,9</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41,9</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16,7</w:t>
            </w:r>
          </w:p>
        </w:tc>
      </w:tr>
      <w:tr w:rsidR="00EF6275" w:rsidRPr="006F3FAD" w:rsidTr="00EF6275">
        <w:trPr>
          <w:trHeight w:val="300"/>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Производство винограда</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21,6</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32,3</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8,7</w:t>
            </w:r>
          </w:p>
        </w:tc>
      </w:tr>
      <w:tr w:rsidR="00EF6275" w:rsidRPr="006F3FAD" w:rsidTr="00EF6275">
        <w:trPr>
          <w:trHeight w:val="345"/>
        </w:trPr>
        <w:tc>
          <w:tcPr>
            <w:tcW w:w="3415" w:type="dxa"/>
            <w:shd w:val="clear" w:color="auto" w:fill="auto"/>
            <w:vAlign w:val="center"/>
            <w:hideMark/>
          </w:tcPr>
          <w:p w:rsidR="00EF6275" w:rsidRPr="006F3FAD" w:rsidRDefault="00EF6275" w:rsidP="00EF6275">
            <w:pPr>
              <w:rPr>
                <w:color w:val="000000"/>
                <w:sz w:val="20"/>
                <w:szCs w:val="20"/>
              </w:rPr>
            </w:pPr>
            <w:r w:rsidRPr="006F3FAD">
              <w:rPr>
                <w:color w:val="000000"/>
                <w:sz w:val="20"/>
                <w:szCs w:val="20"/>
              </w:rPr>
              <w:t>Производство бахчевых</w:t>
            </w:r>
          </w:p>
        </w:tc>
        <w:tc>
          <w:tcPr>
            <w:tcW w:w="1980"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7,1</w:t>
            </w:r>
          </w:p>
        </w:tc>
        <w:tc>
          <w:tcPr>
            <w:tcW w:w="1984"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5,9</w:t>
            </w:r>
          </w:p>
        </w:tc>
        <w:tc>
          <w:tcPr>
            <w:tcW w:w="1843" w:type="dxa"/>
            <w:shd w:val="clear" w:color="auto" w:fill="auto"/>
            <w:noWrap/>
            <w:vAlign w:val="center"/>
            <w:hideMark/>
          </w:tcPr>
          <w:p w:rsidR="00EF6275" w:rsidRPr="006F3FAD" w:rsidRDefault="00EF6275" w:rsidP="00EF6275">
            <w:pPr>
              <w:jc w:val="center"/>
              <w:rPr>
                <w:color w:val="000000"/>
                <w:sz w:val="20"/>
                <w:szCs w:val="20"/>
              </w:rPr>
            </w:pPr>
            <w:r w:rsidRPr="006F3FAD">
              <w:rPr>
                <w:color w:val="000000"/>
                <w:sz w:val="20"/>
                <w:szCs w:val="20"/>
              </w:rPr>
              <w:t>18,0</w:t>
            </w:r>
          </w:p>
        </w:tc>
      </w:tr>
    </w:tbl>
    <w:p w:rsidR="00EF6275" w:rsidRDefault="00EF6275" w:rsidP="00EF6275">
      <w:pPr>
        <w:spacing w:before="120"/>
        <w:jc w:val="both"/>
      </w:pPr>
      <w:r>
        <w:rPr>
          <w:b/>
        </w:rPr>
        <w:t>Рисунок</w:t>
      </w:r>
      <w:r w:rsidRPr="00FF07A1">
        <w:rPr>
          <w:b/>
        </w:rPr>
        <w:t xml:space="preserve"> </w:t>
      </w:r>
      <w:r w:rsidR="000D0B1C">
        <w:rPr>
          <w:b/>
        </w:rPr>
        <w:t>2</w:t>
      </w:r>
      <w:r w:rsidRPr="00FF07A1">
        <w:rPr>
          <w:b/>
        </w:rPr>
        <w:t>.</w:t>
      </w:r>
      <w:r w:rsidR="000D0B1C">
        <w:rPr>
          <w:b/>
        </w:rPr>
        <w:t>11.</w:t>
      </w:r>
      <w:r w:rsidRPr="00FF07A1">
        <w:rPr>
          <w:b/>
        </w:rPr>
        <w:t xml:space="preserve"> </w:t>
      </w:r>
      <w:r>
        <w:rPr>
          <w:b/>
        </w:rPr>
        <w:t>Доля продукции отраслей сельского хозяйства в общем объеме аграрной продукции</w:t>
      </w:r>
      <w:r w:rsidRPr="00FF07A1">
        <w:rPr>
          <w:b/>
        </w:rPr>
        <w:t xml:space="preserve">, </w:t>
      </w:r>
      <w:r>
        <w:rPr>
          <w:b/>
        </w:rPr>
        <w:t xml:space="preserve">средние значения за 2004-2008 гг., </w:t>
      </w:r>
      <w:r w:rsidRPr="00FF07A1">
        <w:rPr>
          <w:b/>
        </w:rPr>
        <w:t xml:space="preserve">в тыс. </w:t>
      </w:r>
      <w:r>
        <w:rPr>
          <w:b/>
        </w:rPr>
        <w:t>сумм (в ценах 2005 г.)</w:t>
      </w:r>
      <w:r w:rsidR="009E3B9F">
        <w:rPr>
          <w:b/>
        </w:rPr>
        <w:t>.</w:t>
      </w:r>
    </w:p>
    <w:p w:rsidR="00EF6275" w:rsidRDefault="00533D49" w:rsidP="00EF6275">
      <w:pPr>
        <w:spacing w:before="120"/>
        <w:jc w:val="center"/>
      </w:pPr>
      <w:r w:rsidRPr="00533D49">
        <w:rPr>
          <w:noProof/>
        </w:rPr>
        <w:drawing>
          <wp:inline distT="0" distB="0" distL="0" distR="0">
            <wp:extent cx="4572000" cy="2743200"/>
            <wp:effectExtent l="19050" t="0" r="19050" b="0"/>
            <wp:docPr id="3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0A2D" w:rsidRPr="00FA35EA" w:rsidRDefault="00580A2D" w:rsidP="00580A2D">
      <w:pPr>
        <w:spacing w:before="120"/>
        <w:jc w:val="both"/>
      </w:pPr>
      <w:r>
        <w:t xml:space="preserve">В соответствии с этими правилами, </w:t>
      </w:r>
      <w:r w:rsidRPr="00FA35EA">
        <w:t>фермер</w:t>
      </w:r>
      <w:r>
        <w:t>ы</w:t>
      </w:r>
      <w:r w:rsidRPr="00FA35EA">
        <w:t xml:space="preserve"> не мо</w:t>
      </w:r>
      <w:r>
        <w:t>гут</w:t>
      </w:r>
      <w:r w:rsidRPr="00FA35EA">
        <w:t xml:space="preserve"> свободно использовать земли, выделенные под </w:t>
      </w:r>
      <w:r>
        <w:t>выращивание хлопчатника и зерновых</w:t>
      </w:r>
      <w:r w:rsidRPr="00FA35EA">
        <w:t xml:space="preserve"> </w:t>
      </w:r>
      <w:r>
        <w:t>для</w:t>
      </w:r>
      <w:r w:rsidRPr="00FA35EA">
        <w:t xml:space="preserve"> други</w:t>
      </w:r>
      <w:r>
        <w:t>х</w:t>
      </w:r>
      <w:r w:rsidRPr="00FA35EA">
        <w:t xml:space="preserve"> цел</w:t>
      </w:r>
      <w:r>
        <w:t>ей</w:t>
      </w:r>
      <w:r w:rsidRPr="00FA35EA">
        <w:t xml:space="preserve">, в том числе и для выращивания </w:t>
      </w:r>
      <w:r>
        <w:t>культур, которые им</w:t>
      </w:r>
      <w:r w:rsidRPr="00FA35EA">
        <w:t xml:space="preserve"> выгодней</w:t>
      </w:r>
      <w:r>
        <w:t xml:space="preserve"> производить</w:t>
      </w:r>
      <w:r w:rsidRPr="00FA35EA">
        <w:t>.</w:t>
      </w:r>
      <w:r>
        <w:t xml:space="preserve"> Между тем на х</w:t>
      </w:r>
      <w:r w:rsidR="009E2A51">
        <w:t xml:space="preserve">лопчатник и зерновые приходится </w:t>
      </w:r>
      <w:r w:rsidRPr="00873F46">
        <w:t xml:space="preserve">88,8% </w:t>
      </w:r>
      <w:r>
        <w:t xml:space="preserve">посевных площадей фермерских хозяйств </w:t>
      </w:r>
      <w:r w:rsidR="009E2A51">
        <w:t>и 8</w:t>
      </w:r>
      <w:r w:rsidR="00DB2760">
        <w:t>2,7</w:t>
      </w:r>
      <w:r w:rsidR="009E2A51">
        <w:t xml:space="preserve">% всех посевных площадей республики </w:t>
      </w:r>
      <w:r>
        <w:t xml:space="preserve">(см. </w:t>
      </w:r>
      <w:r w:rsidRPr="00580A2D">
        <w:rPr>
          <w:highlight w:val="yellow"/>
        </w:rPr>
        <w:t xml:space="preserve">Рисунок </w:t>
      </w:r>
      <w:r w:rsidR="000D0B1C">
        <w:rPr>
          <w:highlight w:val="yellow"/>
        </w:rPr>
        <w:t>2.12</w:t>
      </w:r>
      <w:r>
        <w:t xml:space="preserve">). Это обстоятельство препятствует специализации, учитывающей естественные преимущества (качество и особенности земли, специфика климатических условий, обеспеченность водой и т.д.) как хозяйств, так и регионов. Результат – естественные преимущества хозяйств и регионов используются не </w:t>
      </w:r>
      <w:r>
        <w:lastRenderedPageBreak/>
        <w:t xml:space="preserve">полностью. А это </w:t>
      </w:r>
      <w:r w:rsidR="002C61DC">
        <w:t>ограничивает возможности повышения</w:t>
      </w:r>
      <w:r>
        <w:t xml:space="preserve"> уровн</w:t>
      </w:r>
      <w:r w:rsidR="002C61DC">
        <w:t>я</w:t>
      </w:r>
      <w:r>
        <w:t xml:space="preserve"> благосостояния</w:t>
      </w:r>
      <w:r w:rsidR="002C61DC">
        <w:t xml:space="preserve"> на местном уровне</w:t>
      </w:r>
      <w:r>
        <w:t xml:space="preserve">. </w:t>
      </w:r>
    </w:p>
    <w:p w:rsidR="00580A2D" w:rsidRDefault="00580A2D" w:rsidP="00580A2D">
      <w:pPr>
        <w:spacing w:before="120"/>
        <w:jc w:val="both"/>
        <w:rPr>
          <w:b/>
        </w:rPr>
      </w:pPr>
      <w:r w:rsidRPr="00EF11BA">
        <w:rPr>
          <w:b/>
        </w:rPr>
        <w:t xml:space="preserve">Рисунок </w:t>
      </w:r>
      <w:r w:rsidR="000D0B1C">
        <w:rPr>
          <w:b/>
        </w:rPr>
        <w:t>2.12</w:t>
      </w:r>
      <w:r w:rsidRPr="00EF11BA">
        <w:rPr>
          <w:b/>
        </w:rPr>
        <w:t>. Структура посевных площадей по республике, 200</w:t>
      </w:r>
      <w:r>
        <w:rPr>
          <w:b/>
        </w:rPr>
        <w:t>8</w:t>
      </w:r>
      <w:r w:rsidRPr="00EF11BA">
        <w:rPr>
          <w:b/>
        </w:rPr>
        <w:t xml:space="preserve"> г., в %.</w:t>
      </w:r>
    </w:p>
    <w:p w:rsidR="00580A2D" w:rsidRDefault="00580A2D" w:rsidP="00580A2D">
      <w:pPr>
        <w:spacing w:before="120"/>
        <w:jc w:val="center"/>
        <w:rPr>
          <w:b/>
          <w:highlight w:val="yellow"/>
        </w:rPr>
      </w:pPr>
      <w:r w:rsidRPr="000702A5">
        <w:rPr>
          <w:b/>
          <w:noProof/>
        </w:rPr>
        <w:drawing>
          <wp:inline distT="0" distB="0" distL="0" distR="0">
            <wp:extent cx="3648075" cy="2384850"/>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648075" cy="2384850"/>
                    </a:xfrm>
                    <a:prstGeom prst="rect">
                      <a:avLst/>
                    </a:prstGeom>
                    <a:noFill/>
                    <a:ln w="9525">
                      <a:noFill/>
                      <a:miter lim="800000"/>
                      <a:headEnd/>
                      <a:tailEnd/>
                    </a:ln>
                  </pic:spPr>
                </pic:pic>
              </a:graphicData>
            </a:graphic>
          </wp:inline>
        </w:drawing>
      </w:r>
    </w:p>
    <w:p w:rsidR="002C61DC" w:rsidRPr="002C61DC" w:rsidRDefault="002C61DC" w:rsidP="00746A3F">
      <w:pPr>
        <w:spacing w:before="100"/>
        <w:jc w:val="both"/>
        <w:rPr>
          <w:rFonts w:eastAsia="Calibri"/>
          <w:sz w:val="22"/>
          <w:szCs w:val="22"/>
        </w:rPr>
      </w:pPr>
    </w:p>
    <w:tbl>
      <w:tblPr>
        <w:tblStyle w:val="af5"/>
        <w:tblW w:w="0" w:type="auto"/>
        <w:shd w:val="clear" w:color="auto" w:fill="D9D9D9" w:themeFill="background1" w:themeFillShade="D9"/>
        <w:tblLook w:val="04A0"/>
      </w:tblPr>
      <w:tblGrid>
        <w:gridCol w:w="9571"/>
      </w:tblGrid>
      <w:tr w:rsidR="002C61DC" w:rsidRPr="002C61DC" w:rsidTr="002C61DC">
        <w:tc>
          <w:tcPr>
            <w:tcW w:w="9571" w:type="dxa"/>
            <w:shd w:val="clear" w:color="auto" w:fill="D9D9D9" w:themeFill="background1" w:themeFillShade="D9"/>
          </w:tcPr>
          <w:p w:rsidR="002C61DC" w:rsidRPr="002C61DC" w:rsidRDefault="002C61DC" w:rsidP="002C61DC">
            <w:pPr>
              <w:spacing w:before="100" w:afterAutospacing="0"/>
              <w:jc w:val="both"/>
              <w:rPr>
                <w:rFonts w:eastAsia="Calibri"/>
              </w:rPr>
            </w:pPr>
            <w:r w:rsidRPr="002C61DC">
              <w:rPr>
                <w:rFonts w:eastAsia="Calibri"/>
              </w:rPr>
              <w:t>«План</w:t>
            </w:r>
            <w:r>
              <w:rPr>
                <w:rFonts w:eastAsia="Calibri"/>
              </w:rPr>
              <w:t>,</w:t>
            </w:r>
            <w:r w:rsidRPr="002C61DC">
              <w:rPr>
                <w:rFonts w:eastAsia="Calibri"/>
              </w:rPr>
              <w:t xml:space="preserve"> выдаваемый на хлопок и зерно</w:t>
            </w:r>
            <w:r>
              <w:rPr>
                <w:rFonts w:eastAsia="Calibri"/>
              </w:rPr>
              <w:t>,</w:t>
            </w:r>
            <w:r w:rsidRPr="002C61DC">
              <w:rPr>
                <w:rFonts w:eastAsia="Calibri"/>
              </w:rPr>
              <w:t xml:space="preserve"> не учитывает бонитировку и состояние почвы. Из-за этого в некоторых местах данные культуры выращивать не выгодно. Много фермеров работает в животноводстве, но при этом в степных районах выращивается мало кормовых культур».</w:t>
            </w:r>
          </w:p>
          <w:p w:rsidR="002C61DC" w:rsidRPr="002C61DC" w:rsidRDefault="002C61DC" w:rsidP="002C61DC">
            <w:pPr>
              <w:spacing w:before="100" w:afterAutospacing="0"/>
              <w:jc w:val="right"/>
              <w:rPr>
                <w:rFonts w:eastAsia="Calibri"/>
              </w:rPr>
            </w:pPr>
            <w:r w:rsidRPr="002C61DC">
              <w:rPr>
                <w:i/>
              </w:rPr>
              <w:t>Из интервью с представителями Ферганской области, 2009 г.</w:t>
            </w:r>
          </w:p>
        </w:tc>
      </w:tr>
    </w:tbl>
    <w:p w:rsidR="002C61DC" w:rsidRPr="006A17F7" w:rsidRDefault="002C61DC" w:rsidP="00746A3F">
      <w:pPr>
        <w:spacing w:before="100"/>
        <w:jc w:val="both"/>
        <w:rPr>
          <w:rFonts w:eastAsia="Calibri"/>
          <w:sz w:val="10"/>
          <w:szCs w:val="10"/>
        </w:rPr>
      </w:pPr>
    </w:p>
    <w:tbl>
      <w:tblPr>
        <w:tblStyle w:val="af5"/>
        <w:tblW w:w="0" w:type="auto"/>
        <w:shd w:val="clear" w:color="auto" w:fill="D9D9D9" w:themeFill="background1" w:themeFillShade="D9"/>
        <w:tblLook w:val="04A0"/>
      </w:tblPr>
      <w:tblGrid>
        <w:gridCol w:w="9571"/>
      </w:tblGrid>
      <w:tr w:rsidR="002C61DC" w:rsidRPr="002C61DC" w:rsidTr="006A17F7">
        <w:tc>
          <w:tcPr>
            <w:tcW w:w="9571" w:type="dxa"/>
            <w:shd w:val="clear" w:color="auto" w:fill="D9D9D9" w:themeFill="background1" w:themeFillShade="D9"/>
          </w:tcPr>
          <w:p w:rsidR="002C61DC" w:rsidRPr="002C61DC" w:rsidRDefault="002C61DC" w:rsidP="002C61DC">
            <w:pPr>
              <w:autoSpaceDE w:val="0"/>
              <w:autoSpaceDN w:val="0"/>
              <w:adjustRightInd w:val="0"/>
              <w:spacing w:before="100" w:afterAutospacing="0"/>
              <w:jc w:val="both"/>
            </w:pPr>
            <w:r w:rsidRPr="002C61DC">
              <w:t>«Распределение посевных площадей однобокое. Фермерам земля предоставляется под обязательства выращивать хлопок или зерно. В тоже время они, например, держат скот. Не хватает площадей под кормовые культуры. Если фермерам разрешить хотя бы на 5-10% земли выращивать овощи или бахчевые, то они могли бы продать их на базаре, получить наличные деньги и удовлетворять многие свои потребности»</w:t>
            </w:r>
          </w:p>
          <w:p w:rsidR="002C61DC" w:rsidRPr="002C61DC" w:rsidRDefault="002C61DC" w:rsidP="002C61DC">
            <w:pPr>
              <w:spacing w:before="100" w:afterAutospacing="0"/>
              <w:jc w:val="right"/>
              <w:rPr>
                <w:rFonts w:eastAsia="Calibri"/>
              </w:rPr>
            </w:pPr>
            <w:r w:rsidRPr="002C61DC">
              <w:rPr>
                <w:i/>
              </w:rPr>
              <w:t>Из интервью с представителями Бухарской области, 2009 г.</w:t>
            </w:r>
          </w:p>
        </w:tc>
      </w:tr>
    </w:tbl>
    <w:p w:rsidR="002C61DC" w:rsidRPr="006A17F7" w:rsidRDefault="002C61DC" w:rsidP="00746A3F">
      <w:pPr>
        <w:spacing w:before="100"/>
        <w:jc w:val="both"/>
        <w:rPr>
          <w:rFonts w:eastAsia="Calibri"/>
          <w:sz w:val="10"/>
          <w:szCs w:val="10"/>
        </w:rPr>
      </w:pPr>
    </w:p>
    <w:tbl>
      <w:tblPr>
        <w:tblStyle w:val="af5"/>
        <w:tblW w:w="0" w:type="auto"/>
        <w:shd w:val="clear" w:color="auto" w:fill="D9D9D9" w:themeFill="background1" w:themeFillShade="D9"/>
        <w:tblLook w:val="04A0"/>
      </w:tblPr>
      <w:tblGrid>
        <w:gridCol w:w="9571"/>
      </w:tblGrid>
      <w:tr w:rsidR="002C61DC" w:rsidRPr="002C61DC" w:rsidTr="006A17F7">
        <w:tc>
          <w:tcPr>
            <w:tcW w:w="9571" w:type="dxa"/>
            <w:shd w:val="clear" w:color="auto" w:fill="D9D9D9" w:themeFill="background1" w:themeFillShade="D9"/>
          </w:tcPr>
          <w:p w:rsidR="002C61DC" w:rsidRPr="002C61DC" w:rsidRDefault="002C61DC" w:rsidP="002C61DC">
            <w:pPr>
              <w:spacing w:before="100" w:afterAutospacing="0"/>
              <w:jc w:val="both"/>
              <w:rPr>
                <w:iCs/>
              </w:rPr>
            </w:pPr>
            <w:r w:rsidRPr="002C61DC">
              <w:rPr>
                <w:iCs/>
              </w:rPr>
              <w:t>«Чрезмерное администрирование в планировании работы фермерского хозяйства. Это лишает фермеров свободы при решении вопросов что сажать, когда сажать, в каком количестве, кому реализовать. Планы по хлопку очень завышены. Государственный заказ выгоден только новым фермерским хозяйствам, опытным фермерам госзаказ не очень выгоден».</w:t>
            </w:r>
          </w:p>
          <w:p w:rsidR="002C61DC" w:rsidRPr="002C61DC" w:rsidRDefault="002C61DC" w:rsidP="002C61DC">
            <w:pPr>
              <w:spacing w:before="100" w:afterAutospacing="0"/>
              <w:jc w:val="right"/>
              <w:rPr>
                <w:rFonts w:eastAsia="Calibri"/>
              </w:rPr>
            </w:pPr>
            <w:r w:rsidRPr="002C61DC">
              <w:rPr>
                <w:i/>
              </w:rPr>
              <w:t>Из интервью представителей Сурхандарьинской области, 2009 г.</w:t>
            </w:r>
          </w:p>
        </w:tc>
      </w:tr>
    </w:tbl>
    <w:p w:rsidR="00746A3F" w:rsidRDefault="00746A3F" w:rsidP="00746A3F">
      <w:pPr>
        <w:spacing w:before="120"/>
        <w:jc w:val="both"/>
      </w:pPr>
      <w:r w:rsidRPr="002C61DC">
        <w:t>Наличие данной проблемы иллюстрируе</w:t>
      </w:r>
      <w:r>
        <w:t xml:space="preserve">тся </w:t>
      </w:r>
      <w:r>
        <w:rPr>
          <w:highlight w:val="yellow"/>
        </w:rPr>
        <w:t xml:space="preserve">Рисунками </w:t>
      </w:r>
      <w:r w:rsidR="000D0B1C">
        <w:rPr>
          <w:highlight w:val="yellow"/>
        </w:rPr>
        <w:t>2.13</w:t>
      </w:r>
      <w:r>
        <w:rPr>
          <w:highlight w:val="yellow"/>
        </w:rPr>
        <w:t xml:space="preserve"> и </w:t>
      </w:r>
      <w:r w:rsidR="000D0B1C">
        <w:rPr>
          <w:highlight w:val="yellow"/>
        </w:rPr>
        <w:t>2.14</w:t>
      </w:r>
      <w:r>
        <w:t>. По культурам, свободным от государственного заказа (картофель, овощи, плоды и ягоды) наблюдается четко выраженная связь: регионы специализируются на той продукции, по которой они имеют лучшие показатели урожайности. То есть чем выше урожайность культуры, тем больше под нее выделяется земельных угодий. Данная закономерность, пусть и в менее ярко выраженной форме, имеет место и при распределении земель на уровне регионов под хлопчатник. Однако по зерновым мы видим прямо противоположную картину: существует обратная связь между урожайностью и размерами выделяемых под культуру земельных угодий. Видимо, региональные власти, устанавливая плановые задания, стараются компенсировать низкую урожайность зерновых значительными территориями земель, которые под них выделяются. Иными словами плановые задания не учитывают естественные преимущества и возможности хозяйств и регионов.</w:t>
      </w:r>
    </w:p>
    <w:p w:rsidR="006A17F7" w:rsidRDefault="006A17F7">
      <w:pPr>
        <w:spacing w:after="200" w:line="276" w:lineRule="auto"/>
        <w:rPr>
          <w:b/>
        </w:rPr>
      </w:pPr>
      <w:r>
        <w:rPr>
          <w:b/>
        </w:rPr>
        <w:br w:type="page"/>
      </w:r>
    </w:p>
    <w:p w:rsidR="00FD7637" w:rsidRDefault="00FD7637" w:rsidP="00FD7637">
      <w:pPr>
        <w:spacing w:before="120"/>
        <w:jc w:val="both"/>
      </w:pPr>
      <w:r w:rsidRPr="009E3B9F">
        <w:rPr>
          <w:b/>
        </w:rPr>
        <w:lastRenderedPageBreak/>
        <w:t xml:space="preserve">Рисунок </w:t>
      </w:r>
      <w:r w:rsidR="000D0B1C">
        <w:rPr>
          <w:b/>
        </w:rPr>
        <w:t>2</w:t>
      </w:r>
      <w:r w:rsidRPr="009E3B9F">
        <w:rPr>
          <w:b/>
        </w:rPr>
        <w:t>.</w:t>
      </w:r>
      <w:r w:rsidR="000D0B1C">
        <w:rPr>
          <w:b/>
        </w:rPr>
        <w:t>13.</w:t>
      </w:r>
      <w:r w:rsidR="009E3B9F" w:rsidRPr="009E3B9F">
        <w:rPr>
          <w:b/>
        </w:rPr>
        <w:t xml:space="preserve"> </w:t>
      </w:r>
      <w:r w:rsidR="009E3B9F">
        <w:rPr>
          <w:b/>
        </w:rPr>
        <w:t>Доля площади уборки культур, свободных от государственного заказа, в общей посевной площади в регионах с высокой и низкой урожайностью данных культур</w:t>
      </w:r>
      <w:r w:rsidR="009E3B9F" w:rsidRPr="00FF07A1">
        <w:rPr>
          <w:b/>
        </w:rPr>
        <w:t xml:space="preserve">, </w:t>
      </w:r>
      <w:r w:rsidR="009E3B9F">
        <w:rPr>
          <w:b/>
        </w:rPr>
        <w:t xml:space="preserve">средние значения за 2004-2008 гг., </w:t>
      </w:r>
      <w:r w:rsidR="009E3B9F" w:rsidRPr="00FF07A1">
        <w:rPr>
          <w:b/>
        </w:rPr>
        <w:t xml:space="preserve">в </w:t>
      </w:r>
      <w:r w:rsidR="009E3B9F">
        <w:rPr>
          <w:b/>
        </w:rPr>
        <w:t>%.</w:t>
      </w:r>
    </w:p>
    <w:p w:rsidR="00FD7637" w:rsidRDefault="009A7B80" w:rsidP="00FD7637">
      <w:pPr>
        <w:spacing w:before="120"/>
        <w:jc w:val="center"/>
      </w:pPr>
      <w:r w:rsidRPr="009A7B80">
        <w:rPr>
          <w:noProof/>
        </w:rPr>
        <w:drawing>
          <wp:inline distT="0" distB="0" distL="0" distR="0">
            <wp:extent cx="4581525" cy="2743200"/>
            <wp:effectExtent l="19050" t="0" r="9525" b="0"/>
            <wp:docPr id="4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3B9F" w:rsidRDefault="009E3B9F" w:rsidP="009E3B9F">
      <w:pPr>
        <w:spacing w:before="120"/>
        <w:jc w:val="both"/>
      </w:pPr>
      <w:r w:rsidRPr="009E3B9F">
        <w:rPr>
          <w:b/>
        </w:rPr>
        <w:t xml:space="preserve">Рисунок </w:t>
      </w:r>
      <w:r w:rsidR="000D0B1C">
        <w:rPr>
          <w:b/>
        </w:rPr>
        <w:t>2.14</w:t>
      </w:r>
      <w:r w:rsidRPr="009E3B9F">
        <w:rPr>
          <w:b/>
        </w:rPr>
        <w:t xml:space="preserve">. </w:t>
      </w:r>
      <w:r>
        <w:rPr>
          <w:b/>
        </w:rPr>
        <w:t>Доля площади уборки культур, выращиваемых по государственному заказу, в общей посевной площади в регионах с высокой и низкой урожайностью данных культур</w:t>
      </w:r>
      <w:r w:rsidRPr="00FF07A1">
        <w:rPr>
          <w:b/>
        </w:rPr>
        <w:t xml:space="preserve">, </w:t>
      </w:r>
      <w:r>
        <w:rPr>
          <w:b/>
        </w:rPr>
        <w:t xml:space="preserve">средние значения за 2004-2008 гг., </w:t>
      </w:r>
      <w:r w:rsidRPr="00FF07A1">
        <w:rPr>
          <w:b/>
        </w:rPr>
        <w:t xml:space="preserve">в </w:t>
      </w:r>
      <w:r>
        <w:rPr>
          <w:b/>
        </w:rPr>
        <w:t>%.</w:t>
      </w:r>
    </w:p>
    <w:p w:rsidR="00FD7637" w:rsidRDefault="0022025F" w:rsidP="00FD7637">
      <w:pPr>
        <w:spacing w:before="120"/>
        <w:jc w:val="center"/>
      </w:pPr>
      <w:r w:rsidRPr="0022025F">
        <w:rPr>
          <w:noProof/>
        </w:rPr>
        <w:drawing>
          <wp:inline distT="0" distB="0" distL="0" distR="0">
            <wp:extent cx="4583906" cy="2743200"/>
            <wp:effectExtent l="19050" t="0" r="26194" b="0"/>
            <wp:docPr id="5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17F7" w:rsidRDefault="00F80C95" w:rsidP="00071F9E">
      <w:pPr>
        <w:spacing w:before="120"/>
        <w:jc w:val="both"/>
      </w:pPr>
      <w:r w:rsidRPr="00F80C95">
        <w:rPr>
          <w:b/>
        </w:rPr>
        <w:t>Экспортоориентация региональных экономик</w:t>
      </w:r>
      <w:r>
        <w:t>. М</w:t>
      </w:r>
      <w:r w:rsidR="00237823">
        <w:t>ировой опыт показывает, что важн</w:t>
      </w:r>
      <w:r w:rsidR="00095790">
        <w:t>ое</w:t>
      </w:r>
      <w:r w:rsidR="00237823">
        <w:t xml:space="preserve"> преимущество в обеспечении экономического развития и уровня жизни населения </w:t>
      </w:r>
      <w:r w:rsidR="00095790">
        <w:t>обеспечивает</w:t>
      </w:r>
      <w:r w:rsidR="00237823">
        <w:t xml:space="preserve"> </w:t>
      </w:r>
      <w:r w:rsidR="007A374D">
        <w:t>вовлеченность страны, региона во внешнеэкономические связи, прежде всего степ</w:t>
      </w:r>
      <w:r w:rsidR="00237823">
        <w:t xml:space="preserve">ень </w:t>
      </w:r>
      <w:r w:rsidR="00237823" w:rsidRPr="00F80C95">
        <w:t>ориентации экономики на экспорт</w:t>
      </w:r>
      <w:r w:rsidR="00237823">
        <w:t xml:space="preserve">: чем больше продается товаров и услуг на внешних рынках, тем больше доходов получают производители этих товаров и услуг. </w:t>
      </w:r>
    </w:p>
    <w:p w:rsidR="0034292A" w:rsidRDefault="006A17F7" w:rsidP="0034292A">
      <w:pPr>
        <w:spacing w:before="120"/>
        <w:jc w:val="both"/>
      </w:pPr>
      <w:r>
        <w:t>Эта закономерность имеет место и в Узбекистане: и</w:t>
      </w:r>
      <w:r w:rsidR="00095790">
        <w:t xml:space="preserve">меется ярко выраженная связь между экономическим развитием регионов </w:t>
      </w:r>
      <w:r w:rsidR="00571E29">
        <w:t xml:space="preserve">Узбекистана </w:t>
      </w:r>
      <w:r w:rsidR="00095790">
        <w:t xml:space="preserve">и объемом </w:t>
      </w:r>
      <w:r w:rsidR="00095790" w:rsidRPr="00571E29">
        <w:t>экспорта на душу населения</w:t>
      </w:r>
      <w:r w:rsidR="00095790">
        <w:t xml:space="preserve"> (см. </w:t>
      </w:r>
      <w:r w:rsidR="00095790" w:rsidRPr="00E84A31">
        <w:rPr>
          <w:highlight w:val="yellow"/>
        </w:rPr>
        <w:t xml:space="preserve">Рисунок </w:t>
      </w:r>
      <w:r w:rsidR="000D0B1C">
        <w:rPr>
          <w:highlight w:val="yellow"/>
        </w:rPr>
        <w:t>2.15</w:t>
      </w:r>
      <w:r w:rsidR="00095790">
        <w:t xml:space="preserve">). Разница между этими показателями для </w:t>
      </w:r>
      <w:r w:rsidR="00F637CA">
        <w:t>регионов</w:t>
      </w:r>
      <w:r w:rsidR="00095790">
        <w:t xml:space="preserve"> с высокими и низкими темпами экономического роста </w:t>
      </w:r>
      <w:r w:rsidR="00BE1B5D">
        <w:t xml:space="preserve">(темпы экономического роста за 1998-2008 гг.) </w:t>
      </w:r>
      <w:r w:rsidR="00095790">
        <w:t>составляет 2,8 раза.</w:t>
      </w:r>
      <w:r>
        <w:t xml:space="preserve"> </w:t>
      </w:r>
      <w:r w:rsidR="0034292A" w:rsidRPr="00BC1ABB">
        <w:rPr>
          <w:highlight w:val="yellow"/>
        </w:rPr>
        <w:t xml:space="preserve">Таблица </w:t>
      </w:r>
      <w:r w:rsidR="000D0B1C">
        <w:rPr>
          <w:highlight w:val="yellow"/>
        </w:rPr>
        <w:t>2.7</w:t>
      </w:r>
      <w:r w:rsidR="0034292A">
        <w:t xml:space="preserve"> демонстрирует объемы и структуру экспорта по группам регионов в расчете на одного жителя. Даже если исключить из экспорта Ташкента энергоносители и нефтепродукты (которые явно добыты и произведены вне столицы), то </w:t>
      </w:r>
      <w:r w:rsidR="0034292A">
        <w:lastRenderedPageBreak/>
        <w:t>совершенно очевидно, что регионы с высоким уровнем ЭИЧР в значительной степени более экспортоориентированы, нежели регионы с низким уровнем ЭИЧР. При этом Ташкент специализируется преимущественно на экспорте услуг, прочие регионы с высоким ЭИЧР – на экспорте машин и оборудования, черных и цветных металлов, химической продукции. Регионы с низким ЭИЧР экспортируют в основном энергоносители, нефтепродукты, хлопок волокно.</w:t>
      </w:r>
    </w:p>
    <w:p w:rsidR="00095790" w:rsidRDefault="00095790" w:rsidP="00095790">
      <w:pPr>
        <w:pStyle w:val="af6"/>
        <w:spacing w:before="120"/>
        <w:jc w:val="both"/>
        <w:rPr>
          <w:szCs w:val="24"/>
        </w:rPr>
      </w:pPr>
      <w:r w:rsidRPr="00BC616F">
        <w:rPr>
          <w:b/>
          <w:szCs w:val="24"/>
        </w:rPr>
        <w:t xml:space="preserve">Рисунок </w:t>
      </w:r>
      <w:r w:rsidR="000D0B1C">
        <w:rPr>
          <w:b/>
          <w:szCs w:val="24"/>
        </w:rPr>
        <w:t>2</w:t>
      </w:r>
      <w:r w:rsidRPr="00BC616F">
        <w:rPr>
          <w:b/>
          <w:szCs w:val="24"/>
        </w:rPr>
        <w:t>.</w:t>
      </w:r>
      <w:r w:rsidR="000D0B1C">
        <w:rPr>
          <w:b/>
          <w:szCs w:val="24"/>
        </w:rPr>
        <w:t>15.</w:t>
      </w:r>
      <w:r w:rsidRPr="00BC616F">
        <w:rPr>
          <w:b/>
          <w:szCs w:val="24"/>
        </w:rPr>
        <w:t xml:space="preserve"> </w:t>
      </w:r>
      <w:r w:rsidRPr="00E84A31">
        <w:rPr>
          <w:b/>
          <w:szCs w:val="24"/>
        </w:rPr>
        <w:t>Экспорт на душу населения, в среднем за 2005-2008 гг., долл. США</w:t>
      </w:r>
      <w:r>
        <w:rPr>
          <w:b/>
          <w:szCs w:val="24"/>
        </w:rPr>
        <w:t>.</w:t>
      </w:r>
    </w:p>
    <w:p w:rsidR="00095790" w:rsidRDefault="00571E29" w:rsidP="00095790">
      <w:pPr>
        <w:spacing w:before="120"/>
        <w:jc w:val="center"/>
      </w:pPr>
      <w:r w:rsidRPr="00571E29">
        <w:rPr>
          <w:noProof/>
        </w:rPr>
        <w:drawing>
          <wp:inline distT="0" distB="0" distL="0" distR="0">
            <wp:extent cx="4572000" cy="2743200"/>
            <wp:effectExtent l="19050" t="0" r="19050" b="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37823" w:rsidRDefault="00237823" w:rsidP="00142305">
      <w:pPr>
        <w:spacing w:before="120"/>
        <w:jc w:val="both"/>
      </w:pPr>
      <w:r w:rsidRPr="00FF07A1">
        <w:rPr>
          <w:b/>
        </w:rPr>
        <w:t xml:space="preserve">Таблица </w:t>
      </w:r>
      <w:r w:rsidR="000D0B1C">
        <w:rPr>
          <w:b/>
        </w:rPr>
        <w:t>2</w:t>
      </w:r>
      <w:r w:rsidRPr="00FF07A1">
        <w:rPr>
          <w:b/>
        </w:rPr>
        <w:t>.</w:t>
      </w:r>
      <w:r w:rsidR="000D0B1C">
        <w:rPr>
          <w:b/>
        </w:rPr>
        <w:t>7.</w:t>
      </w:r>
      <w:r w:rsidRPr="00FF07A1">
        <w:rPr>
          <w:b/>
        </w:rPr>
        <w:t xml:space="preserve"> </w:t>
      </w:r>
      <w:r>
        <w:rPr>
          <w:b/>
        </w:rPr>
        <w:t>Объемы экспорта в расче</w:t>
      </w:r>
      <w:r w:rsidRPr="00B86091">
        <w:rPr>
          <w:b/>
        </w:rPr>
        <w:t>те на одного жителя, в долл. США, средние значения за 200</w:t>
      </w:r>
      <w:r w:rsidR="00B86091" w:rsidRPr="00B86091">
        <w:rPr>
          <w:b/>
        </w:rPr>
        <w:t>5</w:t>
      </w:r>
      <w:r w:rsidRPr="00B86091">
        <w:rPr>
          <w:b/>
        </w:rPr>
        <w:t xml:space="preserve">-2008 гг., в </w:t>
      </w:r>
      <w:r w:rsidR="0044139F" w:rsidRPr="00B86091">
        <w:rPr>
          <w:b/>
        </w:rPr>
        <w:t>долл. США</w:t>
      </w:r>
    </w:p>
    <w:tbl>
      <w:tblPr>
        <w:tblW w:w="9364" w:type="dxa"/>
        <w:tblInd w:w="100" w:type="dxa"/>
        <w:tblLook w:val="04A0"/>
      </w:tblPr>
      <w:tblGrid>
        <w:gridCol w:w="3694"/>
        <w:gridCol w:w="1134"/>
        <w:gridCol w:w="2268"/>
        <w:gridCol w:w="2268"/>
      </w:tblGrid>
      <w:tr w:rsidR="00237823" w:rsidRPr="00237823" w:rsidTr="007376F2">
        <w:trPr>
          <w:trHeight w:val="540"/>
        </w:trPr>
        <w:tc>
          <w:tcPr>
            <w:tcW w:w="3694"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7823" w:rsidRPr="00237823" w:rsidRDefault="00237823" w:rsidP="00237823">
            <w:pPr>
              <w:jc w:val="center"/>
              <w:rPr>
                <w:b/>
                <w:bCs/>
                <w:color w:val="000000"/>
                <w:sz w:val="20"/>
                <w:szCs w:val="20"/>
              </w:rPr>
            </w:pPr>
            <w:r w:rsidRPr="00237823">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D8D8D8"/>
            <w:hideMark/>
          </w:tcPr>
          <w:p w:rsidR="00237823" w:rsidRPr="00237823" w:rsidRDefault="00237823" w:rsidP="00D555F6">
            <w:pPr>
              <w:jc w:val="center"/>
              <w:rPr>
                <w:b/>
                <w:bCs/>
                <w:color w:val="000000"/>
                <w:sz w:val="20"/>
                <w:szCs w:val="20"/>
              </w:rPr>
            </w:pPr>
            <w:r w:rsidRPr="00237823">
              <w:rPr>
                <w:b/>
                <w:bCs/>
                <w:color w:val="000000"/>
                <w:sz w:val="20"/>
                <w:szCs w:val="20"/>
              </w:rPr>
              <w:t>Ташкент</w:t>
            </w:r>
          </w:p>
        </w:tc>
        <w:tc>
          <w:tcPr>
            <w:tcW w:w="2268" w:type="dxa"/>
            <w:tcBorders>
              <w:top w:val="single" w:sz="4" w:space="0" w:color="auto"/>
              <w:left w:val="nil"/>
              <w:bottom w:val="single" w:sz="4" w:space="0" w:color="auto"/>
              <w:right w:val="single" w:sz="4" w:space="0" w:color="auto"/>
            </w:tcBorders>
            <w:shd w:val="clear" w:color="000000" w:fill="D8D8D8"/>
            <w:hideMark/>
          </w:tcPr>
          <w:p w:rsidR="00237823" w:rsidRPr="00237823" w:rsidRDefault="00237823" w:rsidP="00D555F6">
            <w:pPr>
              <w:jc w:val="center"/>
              <w:rPr>
                <w:b/>
                <w:bCs/>
                <w:color w:val="000000"/>
                <w:sz w:val="20"/>
                <w:szCs w:val="20"/>
              </w:rPr>
            </w:pPr>
            <w:r w:rsidRPr="00237823">
              <w:rPr>
                <w:b/>
                <w:bCs/>
                <w:color w:val="000000"/>
                <w:sz w:val="20"/>
                <w:szCs w:val="20"/>
              </w:rPr>
              <w:t>Регионы с высоким ЭИЧР (без Ташкента)</w:t>
            </w:r>
          </w:p>
        </w:tc>
        <w:tc>
          <w:tcPr>
            <w:tcW w:w="2268" w:type="dxa"/>
            <w:tcBorders>
              <w:top w:val="single" w:sz="4" w:space="0" w:color="auto"/>
              <w:left w:val="nil"/>
              <w:bottom w:val="single" w:sz="4" w:space="0" w:color="auto"/>
              <w:right w:val="single" w:sz="4" w:space="0" w:color="auto"/>
            </w:tcBorders>
            <w:shd w:val="clear" w:color="000000" w:fill="D8D8D8"/>
            <w:hideMark/>
          </w:tcPr>
          <w:p w:rsidR="00237823" w:rsidRPr="00237823" w:rsidRDefault="00237823" w:rsidP="00D555F6">
            <w:pPr>
              <w:jc w:val="center"/>
              <w:rPr>
                <w:b/>
                <w:bCs/>
                <w:color w:val="000000"/>
                <w:sz w:val="20"/>
                <w:szCs w:val="20"/>
              </w:rPr>
            </w:pPr>
            <w:r w:rsidRPr="00237823">
              <w:rPr>
                <w:b/>
                <w:bCs/>
                <w:color w:val="000000"/>
                <w:sz w:val="20"/>
                <w:szCs w:val="20"/>
              </w:rPr>
              <w:t>Регионы с</w:t>
            </w:r>
            <w:r w:rsidR="007F5202">
              <w:rPr>
                <w:b/>
                <w:bCs/>
                <w:color w:val="000000"/>
                <w:sz w:val="20"/>
                <w:szCs w:val="20"/>
              </w:rPr>
              <w:t xml:space="preserve">о средним и </w:t>
            </w:r>
            <w:r w:rsidRPr="00237823">
              <w:rPr>
                <w:b/>
                <w:bCs/>
                <w:color w:val="000000"/>
                <w:sz w:val="20"/>
                <w:szCs w:val="20"/>
              </w:rPr>
              <w:t xml:space="preserve"> низким ЭИЧР</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b/>
                <w:bCs/>
                <w:color w:val="000000"/>
                <w:sz w:val="20"/>
                <w:szCs w:val="20"/>
              </w:rPr>
            </w:pPr>
            <w:r w:rsidRPr="00237823">
              <w:rPr>
                <w:b/>
                <w:bCs/>
                <w:color w:val="000000"/>
                <w:sz w:val="20"/>
                <w:szCs w:val="20"/>
              </w:rPr>
              <w:t>Экспорт, всего</w:t>
            </w:r>
          </w:p>
        </w:tc>
        <w:tc>
          <w:tcPr>
            <w:tcW w:w="1134"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b/>
                <w:color w:val="000000"/>
                <w:sz w:val="20"/>
                <w:szCs w:val="20"/>
              </w:rPr>
            </w:pPr>
            <w:r w:rsidRPr="000C0CDA">
              <w:rPr>
                <w:b/>
                <w:color w:val="000000"/>
                <w:sz w:val="20"/>
                <w:szCs w:val="20"/>
              </w:rPr>
              <w:t>1 057</w:t>
            </w:r>
          </w:p>
        </w:tc>
        <w:tc>
          <w:tcPr>
            <w:tcW w:w="2268" w:type="dxa"/>
            <w:tcBorders>
              <w:top w:val="nil"/>
              <w:left w:val="nil"/>
              <w:bottom w:val="single" w:sz="4" w:space="0" w:color="auto"/>
              <w:right w:val="single" w:sz="4" w:space="0" w:color="auto"/>
            </w:tcBorders>
            <w:shd w:val="clear" w:color="auto" w:fill="auto"/>
            <w:vAlign w:val="bottom"/>
            <w:hideMark/>
          </w:tcPr>
          <w:p w:rsidR="000C0CDA" w:rsidRPr="000C0CDA" w:rsidRDefault="000C0CDA" w:rsidP="008162BC">
            <w:pPr>
              <w:jc w:val="center"/>
              <w:rPr>
                <w:b/>
                <w:color w:val="000000"/>
                <w:sz w:val="20"/>
                <w:szCs w:val="20"/>
              </w:rPr>
            </w:pPr>
            <w:r w:rsidRPr="000C0CDA">
              <w:rPr>
                <w:b/>
                <w:color w:val="000000"/>
                <w:sz w:val="20"/>
                <w:szCs w:val="20"/>
              </w:rPr>
              <w:t>339</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b/>
                <w:color w:val="000000"/>
                <w:sz w:val="20"/>
                <w:szCs w:val="20"/>
              </w:rPr>
            </w:pPr>
            <w:r w:rsidRPr="000C0CDA">
              <w:rPr>
                <w:b/>
                <w:color w:val="000000"/>
                <w:sz w:val="20"/>
                <w:szCs w:val="20"/>
              </w:rPr>
              <w:t>107</w:t>
            </w:r>
          </w:p>
        </w:tc>
      </w:tr>
      <w:tr w:rsidR="00237823"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237823" w:rsidRPr="00237823" w:rsidRDefault="00237823" w:rsidP="00237823">
            <w:pPr>
              <w:rPr>
                <w:color w:val="000000"/>
                <w:sz w:val="20"/>
                <w:szCs w:val="20"/>
              </w:rPr>
            </w:pPr>
            <w:r w:rsidRPr="00237823">
              <w:rPr>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237823" w:rsidRPr="000C0CDA" w:rsidRDefault="00237823" w:rsidP="00237823">
            <w:pPr>
              <w:jc w:val="center"/>
              <w:rPr>
                <w:b/>
                <w:bCs/>
                <w:color w:val="000000"/>
                <w:sz w:val="20"/>
                <w:szCs w:val="20"/>
              </w:rPr>
            </w:pPr>
            <w:r w:rsidRPr="000C0CDA">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237823" w:rsidRPr="000C0CDA" w:rsidRDefault="00237823" w:rsidP="00237823">
            <w:pPr>
              <w:jc w:val="center"/>
              <w:rPr>
                <w:b/>
                <w:bCs/>
                <w:color w:val="000000"/>
                <w:sz w:val="20"/>
                <w:szCs w:val="20"/>
              </w:rPr>
            </w:pPr>
            <w:r w:rsidRPr="000C0CDA">
              <w:rPr>
                <w:b/>
                <w:bCs/>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37823" w:rsidRPr="000C0CDA" w:rsidRDefault="00237823" w:rsidP="00237823">
            <w:pPr>
              <w:jc w:val="center"/>
              <w:rPr>
                <w:b/>
                <w:bCs/>
                <w:color w:val="000000"/>
                <w:sz w:val="20"/>
                <w:szCs w:val="20"/>
              </w:rPr>
            </w:pPr>
            <w:r w:rsidRPr="000C0CDA">
              <w:rPr>
                <w:b/>
                <w:bCs/>
                <w:color w:val="000000"/>
                <w:sz w:val="20"/>
                <w:szCs w:val="20"/>
              </w:rPr>
              <w:t> </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Хлопок волокно</w:t>
            </w:r>
          </w:p>
        </w:tc>
        <w:tc>
          <w:tcPr>
            <w:tcW w:w="1134"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w:t>
            </w:r>
          </w:p>
        </w:tc>
        <w:tc>
          <w:tcPr>
            <w:tcW w:w="2268" w:type="dxa"/>
            <w:tcBorders>
              <w:top w:val="nil"/>
              <w:left w:val="nil"/>
              <w:bottom w:val="single" w:sz="4" w:space="0" w:color="auto"/>
              <w:right w:val="single" w:sz="4" w:space="0" w:color="auto"/>
            </w:tcBorders>
            <w:shd w:val="clear" w:color="000000" w:fill="FFFF00"/>
            <w:vAlign w:val="bottom"/>
            <w:hideMark/>
          </w:tcPr>
          <w:p w:rsidR="000C0CDA" w:rsidRPr="000C0CDA" w:rsidRDefault="000C0CDA" w:rsidP="008162BC">
            <w:pPr>
              <w:jc w:val="center"/>
              <w:rPr>
                <w:color w:val="000000"/>
                <w:sz w:val="20"/>
                <w:szCs w:val="20"/>
              </w:rPr>
            </w:pPr>
            <w:r w:rsidRPr="000C0CDA">
              <w:rPr>
                <w:color w:val="000000"/>
                <w:sz w:val="20"/>
                <w:szCs w:val="20"/>
              </w:rPr>
              <w:t>41</w:t>
            </w:r>
          </w:p>
        </w:tc>
        <w:tc>
          <w:tcPr>
            <w:tcW w:w="2268" w:type="dxa"/>
            <w:tcBorders>
              <w:top w:val="nil"/>
              <w:left w:val="nil"/>
              <w:bottom w:val="single" w:sz="4" w:space="0" w:color="auto"/>
              <w:right w:val="single" w:sz="4" w:space="0" w:color="auto"/>
            </w:tcBorders>
            <w:shd w:val="clear" w:color="000000" w:fill="FFFF00"/>
            <w:noWrap/>
            <w:vAlign w:val="bottom"/>
            <w:hideMark/>
          </w:tcPr>
          <w:p w:rsidR="000C0CDA" w:rsidRPr="000C0CDA" w:rsidRDefault="000C0CDA" w:rsidP="008162BC">
            <w:pPr>
              <w:jc w:val="center"/>
              <w:rPr>
                <w:color w:val="000000"/>
                <w:sz w:val="20"/>
                <w:szCs w:val="20"/>
              </w:rPr>
            </w:pPr>
            <w:r w:rsidRPr="000C0CDA">
              <w:rPr>
                <w:color w:val="000000"/>
                <w:sz w:val="20"/>
                <w:szCs w:val="20"/>
              </w:rPr>
              <w:t>45</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Энергоносители и нефтепродукты</w:t>
            </w:r>
          </w:p>
        </w:tc>
        <w:tc>
          <w:tcPr>
            <w:tcW w:w="1134" w:type="dxa"/>
            <w:tcBorders>
              <w:top w:val="nil"/>
              <w:left w:val="nil"/>
              <w:bottom w:val="single" w:sz="4" w:space="0" w:color="auto"/>
              <w:right w:val="single" w:sz="4" w:space="0" w:color="auto"/>
            </w:tcBorders>
            <w:shd w:val="clear" w:color="000000" w:fill="FFC000"/>
            <w:noWrap/>
            <w:vAlign w:val="bottom"/>
            <w:hideMark/>
          </w:tcPr>
          <w:p w:rsidR="000C0CDA" w:rsidRPr="000C0CDA" w:rsidRDefault="000C0CDA" w:rsidP="008162BC">
            <w:pPr>
              <w:jc w:val="center"/>
              <w:rPr>
                <w:color w:val="000000"/>
                <w:sz w:val="20"/>
                <w:szCs w:val="20"/>
              </w:rPr>
            </w:pPr>
            <w:r w:rsidRPr="000C0CDA">
              <w:rPr>
                <w:color w:val="000000"/>
                <w:sz w:val="20"/>
                <w:szCs w:val="20"/>
              </w:rPr>
              <w:t>486</w:t>
            </w:r>
          </w:p>
        </w:tc>
        <w:tc>
          <w:tcPr>
            <w:tcW w:w="2268" w:type="dxa"/>
            <w:tcBorders>
              <w:top w:val="nil"/>
              <w:left w:val="nil"/>
              <w:bottom w:val="single" w:sz="4" w:space="0" w:color="auto"/>
              <w:right w:val="single" w:sz="4" w:space="0" w:color="auto"/>
            </w:tcBorders>
            <w:shd w:val="clear" w:color="auto" w:fill="auto"/>
            <w:vAlign w:val="bottom"/>
            <w:hideMark/>
          </w:tcPr>
          <w:p w:rsidR="000C0CDA" w:rsidRPr="000C0CDA" w:rsidRDefault="000C0CDA" w:rsidP="008162BC">
            <w:pPr>
              <w:jc w:val="center"/>
              <w:rPr>
                <w:color w:val="000000"/>
                <w:sz w:val="20"/>
                <w:szCs w:val="20"/>
              </w:rPr>
            </w:pPr>
            <w:r w:rsidRPr="000C0CDA">
              <w:rPr>
                <w:color w:val="000000"/>
                <w:sz w:val="20"/>
                <w:szCs w:val="20"/>
              </w:rPr>
              <w:t>1</w:t>
            </w:r>
          </w:p>
        </w:tc>
        <w:tc>
          <w:tcPr>
            <w:tcW w:w="2268" w:type="dxa"/>
            <w:tcBorders>
              <w:top w:val="nil"/>
              <w:left w:val="nil"/>
              <w:bottom w:val="single" w:sz="4" w:space="0" w:color="auto"/>
              <w:right w:val="single" w:sz="4" w:space="0" w:color="auto"/>
            </w:tcBorders>
            <w:shd w:val="clear" w:color="000000" w:fill="FFFF00"/>
            <w:noWrap/>
            <w:vAlign w:val="bottom"/>
            <w:hideMark/>
          </w:tcPr>
          <w:p w:rsidR="000C0CDA" w:rsidRPr="000C0CDA" w:rsidRDefault="000C0CDA" w:rsidP="008162BC">
            <w:pPr>
              <w:jc w:val="center"/>
              <w:rPr>
                <w:color w:val="000000"/>
                <w:sz w:val="20"/>
                <w:szCs w:val="20"/>
              </w:rPr>
            </w:pPr>
            <w:r w:rsidRPr="000C0CDA">
              <w:rPr>
                <w:color w:val="000000"/>
                <w:sz w:val="20"/>
                <w:szCs w:val="20"/>
              </w:rPr>
              <w:t>28</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Черные и цветные мета</w:t>
            </w:r>
            <w:r>
              <w:rPr>
                <w:color w:val="000000"/>
                <w:sz w:val="20"/>
                <w:szCs w:val="20"/>
              </w:rPr>
              <w:t>л</w:t>
            </w:r>
            <w:r w:rsidRPr="00237823">
              <w:rPr>
                <w:color w:val="000000"/>
                <w:sz w:val="20"/>
                <w:szCs w:val="20"/>
              </w:rPr>
              <w:t>лы</w:t>
            </w:r>
          </w:p>
        </w:tc>
        <w:tc>
          <w:tcPr>
            <w:tcW w:w="1134"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19</w:t>
            </w:r>
          </w:p>
        </w:tc>
        <w:tc>
          <w:tcPr>
            <w:tcW w:w="2268" w:type="dxa"/>
            <w:tcBorders>
              <w:top w:val="nil"/>
              <w:left w:val="nil"/>
              <w:bottom w:val="single" w:sz="4" w:space="0" w:color="auto"/>
              <w:right w:val="single" w:sz="4" w:space="0" w:color="auto"/>
            </w:tcBorders>
            <w:shd w:val="clear" w:color="000000" w:fill="FFC000"/>
            <w:vAlign w:val="bottom"/>
            <w:hideMark/>
          </w:tcPr>
          <w:p w:rsidR="000C0CDA" w:rsidRPr="000C0CDA" w:rsidRDefault="000C0CDA" w:rsidP="008162BC">
            <w:pPr>
              <w:jc w:val="center"/>
              <w:rPr>
                <w:color w:val="000000"/>
                <w:sz w:val="20"/>
                <w:szCs w:val="20"/>
              </w:rPr>
            </w:pPr>
            <w:r w:rsidRPr="000C0CDA">
              <w:rPr>
                <w:color w:val="000000"/>
                <w:sz w:val="20"/>
                <w:szCs w:val="20"/>
              </w:rPr>
              <w:t>103</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0</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Продовольственные товары</w:t>
            </w:r>
          </w:p>
        </w:tc>
        <w:tc>
          <w:tcPr>
            <w:tcW w:w="1134" w:type="dxa"/>
            <w:tcBorders>
              <w:top w:val="nil"/>
              <w:left w:val="nil"/>
              <w:bottom w:val="single" w:sz="4" w:space="0" w:color="auto"/>
              <w:right w:val="single" w:sz="4" w:space="0" w:color="auto"/>
            </w:tcBorders>
            <w:shd w:val="clear" w:color="000000" w:fill="FFFF00"/>
            <w:noWrap/>
            <w:vAlign w:val="bottom"/>
            <w:hideMark/>
          </w:tcPr>
          <w:p w:rsidR="000C0CDA" w:rsidRPr="000C0CDA" w:rsidRDefault="000C0CDA" w:rsidP="008162BC">
            <w:pPr>
              <w:jc w:val="center"/>
              <w:rPr>
                <w:color w:val="000000"/>
                <w:sz w:val="20"/>
                <w:szCs w:val="20"/>
              </w:rPr>
            </w:pPr>
            <w:r w:rsidRPr="000C0CDA">
              <w:rPr>
                <w:color w:val="000000"/>
                <w:sz w:val="20"/>
                <w:szCs w:val="20"/>
              </w:rPr>
              <w:t>55</w:t>
            </w:r>
          </w:p>
        </w:tc>
        <w:tc>
          <w:tcPr>
            <w:tcW w:w="2268" w:type="dxa"/>
            <w:tcBorders>
              <w:top w:val="nil"/>
              <w:left w:val="nil"/>
              <w:bottom w:val="single" w:sz="4" w:space="0" w:color="auto"/>
              <w:right w:val="single" w:sz="4" w:space="0" w:color="auto"/>
            </w:tcBorders>
            <w:shd w:val="clear" w:color="auto" w:fill="auto"/>
            <w:vAlign w:val="bottom"/>
            <w:hideMark/>
          </w:tcPr>
          <w:p w:rsidR="000C0CDA" w:rsidRPr="000C0CDA" w:rsidRDefault="000C0CDA" w:rsidP="008162BC">
            <w:pPr>
              <w:jc w:val="center"/>
              <w:rPr>
                <w:color w:val="000000"/>
                <w:sz w:val="20"/>
                <w:szCs w:val="20"/>
              </w:rPr>
            </w:pPr>
            <w:r w:rsidRPr="000C0CDA">
              <w:rPr>
                <w:color w:val="000000"/>
                <w:sz w:val="20"/>
                <w:szCs w:val="20"/>
              </w:rPr>
              <w:t>20</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14</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7376F2">
            <w:pPr>
              <w:rPr>
                <w:color w:val="000000"/>
                <w:sz w:val="20"/>
                <w:szCs w:val="20"/>
              </w:rPr>
            </w:pPr>
            <w:r w:rsidRPr="00237823">
              <w:rPr>
                <w:color w:val="000000"/>
                <w:sz w:val="20"/>
                <w:szCs w:val="20"/>
              </w:rPr>
              <w:t>Химическая продукция и издели</w:t>
            </w:r>
            <w:r w:rsidR="007376F2">
              <w:rPr>
                <w:color w:val="000000"/>
                <w:sz w:val="20"/>
                <w:szCs w:val="20"/>
              </w:rPr>
              <w:t>я</w:t>
            </w:r>
            <w:r w:rsidRPr="00237823">
              <w:rPr>
                <w:color w:val="000000"/>
                <w:sz w:val="20"/>
                <w:szCs w:val="20"/>
              </w:rPr>
              <w:t xml:space="preserve"> из нее</w:t>
            </w:r>
          </w:p>
        </w:tc>
        <w:tc>
          <w:tcPr>
            <w:tcW w:w="1134"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14</w:t>
            </w:r>
          </w:p>
        </w:tc>
        <w:tc>
          <w:tcPr>
            <w:tcW w:w="2268" w:type="dxa"/>
            <w:tcBorders>
              <w:top w:val="nil"/>
              <w:left w:val="nil"/>
              <w:bottom w:val="single" w:sz="4" w:space="0" w:color="auto"/>
              <w:right w:val="single" w:sz="4" w:space="0" w:color="auto"/>
            </w:tcBorders>
            <w:shd w:val="clear" w:color="000000" w:fill="FFFF00"/>
            <w:vAlign w:val="bottom"/>
            <w:hideMark/>
          </w:tcPr>
          <w:p w:rsidR="000C0CDA" w:rsidRPr="000C0CDA" w:rsidRDefault="000C0CDA" w:rsidP="008162BC">
            <w:pPr>
              <w:jc w:val="center"/>
              <w:rPr>
                <w:color w:val="000000"/>
                <w:sz w:val="20"/>
                <w:szCs w:val="20"/>
              </w:rPr>
            </w:pPr>
            <w:r w:rsidRPr="000C0CDA">
              <w:rPr>
                <w:color w:val="000000"/>
                <w:sz w:val="20"/>
                <w:szCs w:val="20"/>
              </w:rPr>
              <w:t>45</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7</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Машины и оборудование</w:t>
            </w:r>
          </w:p>
        </w:tc>
        <w:tc>
          <w:tcPr>
            <w:tcW w:w="1134" w:type="dxa"/>
            <w:tcBorders>
              <w:top w:val="nil"/>
              <w:left w:val="nil"/>
              <w:bottom w:val="single" w:sz="4" w:space="0" w:color="auto"/>
              <w:right w:val="single" w:sz="4" w:space="0" w:color="auto"/>
            </w:tcBorders>
            <w:shd w:val="clear" w:color="000000" w:fill="FFFF00"/>
            <w:noWrap/>
            <w:vAlign w:val="bottom"/>
            <w:hideMark/>
          </w:tcPr>
          <w:p w:rsidR="000C0CDA" w:rsidRPr="000C0CDA" w:rsidRDefault="000C0CDA" w:rsidP="008162BC">
            <w:pPr>
              <w:jc w:val="center"/>
              <w:rPr>
                <w:color w:val="000000"/>
                <w:sz w:val="20"/>
                <w:szCs w:val="20"/>
              </w:rPr>
            </w:pPr>
            <w:r w:rsidRPr="000C0CDA">
              <w:rPr>
                <w:color w:val="000000"/>
                <w:sz w:val="20"/>
                <w:szCs w:val="20"/>
              </w:rPr>
              <w:t>43</w:t>
            </w:r>
          </w:p>
        </w:tc>
        <w:tc>
          <w:tcPr>
            <w:tcW w:w="2268" w:type="dxa"/>
            <w:tcBorders>
              <w:top w:val="nil"/>
              <w:left w:val="nil"/>
              <w:bottom w:val="single" w:sz="4" w:space="0" w:color="auto"/>
              <w:right w:val="single" w:sz="4" w:space="0" w:color="auto"/>
            </w:tcBorders>
            <w:shd w:val="clear" w:color="000000" w:fill="FFC000"/>
            <w:vAlign w:val="bottom"/>
            <w:hideMark/>
          </w:tcPr>
          <w:p w:rsidR="000C0CDA" w:rsidRPr="000C0CDA" w:rsidRDefault="000C0CDA" w:rsidP="008162BC">
            <w:pPr>
              <w:jc w:val="center"/>
              <w:rPr>
                <w:color w:val="000000"/>
                <w:sz w:val="20"/>
                <w:szCs w:val="20"/>
              </w:rPr>
            </w:pPr>
            <w:r w:rsidRPr="000C0CDA">
              <w:rPr>
                <w:color w:val="000000"/>
                <w:sz w:val="20"/>
                <w:szCs w:val="20"/>
              </w:rPr>
              <w:t>84</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1</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Услуги</w:t>
            </w:r>
          </w:p>
        </w:tc>
        <w:tc>
          <w:tcPr>
            <w:tcW w:w="1134" w:type="dxa"/>
            <w:tcBorders>
              <w:top w:val="nil"/>
              <w:left w:val="nil"/>
              <w:bottom w:val="single" w:sz="4" w:space="0" w:color="auto"/>
              <w:right w:val="single" w:sz="4" w:space="0" w:color="auto"/>
            </w:tcBorders>
            <w:shd w:val="clear" w:color="000000" w:fill="FFC000"/>
            <w:noWrap/>
            <w:vAlign w:val="bottom"/>
            <w:hideMark/>
          </w:tcPr>
          <w:p w:rsidR="000C0CDA" w:rsidRPr="000C0CDA" w:rsidRDefault="000C0CDA" w:rsidP="008162BC">
            <w:pPr>
              <w:jc w:val="center"/>
              <w:rPr>
                <w:color w:val="000000"/>
                <w:sz w:val="20"/>
                <w:szCs w:val="20"/>
              </w:rPr>
            </w:pPr>
            <w:r w:rsidRPr="000C0CDA">
              <w:rPr>
                <w:color w:val="000000"/>
                <w:sz w:val="20"/>
                <w:szCs w:val="20"/>
              </w:rPr>
              <w:t>393</w:t>
            </w:r>
          </w:p>
        </w:tc>
        <w:tc>
          <w:tcPr>
            <w:tcW w:w="2268" w:type="dxa"/>
            <w:tcBorders>
              <w:top w:val="nil"/>
              <w:left w:val="nil"/>
              <w:bottom w:val="single" w:sz="4" w:space="0" w:color="auto"/>
              <w:right w:val="single" w:sz="4" w:space="0" w:color="auto"/>
            </w:tcBorders>
            <w:shd w:val="clear" w:color="auto" w:fill="auto"/>
            <w:vAlign w:val="bottom"/>
            <w:hideMark/>
          </w:tcPr>
          <w:p w:rsidR="000C0CDA" w:rsidRPr="000C0CDA" w:rsidRDefault="000C0CDA" w:rsidP="008162BC">
            <w:pPr>
              <w:jc w:val="center"/>
              <w:rPr>
                <w:color w:val="000000"/>
                <w:sz w:val="20"/>
                <w:szCs w:val="20"/>
              </w:rPr>
            </w:pPr>
            <w:r w:rsidRPr="000C0CDA">
              <w:rPr>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2</w:t>
            </w:r>
          </w:p>
        </w:tc>
      </w:tr>
      <w:tr w:rsidR="000C0CDA" w:rsidRPr="00237823" w:rsidTr="007376F2">
        <w:trPr>
          <w:trHeight w:val="315"/>
        </w:trPr>
        <w:tc>
          <w:tcPr>
            <w:tcW w:w="3694" w:type="dxa"/>
            <w:tcBorders>
              <w:top w:val="nil"/>
              <w:left w:val="single" w:sz="4" w:space="0" w:color="auto"/>
              <w:bottom w:val="single" w:sz="4" w:space="0" w:color="auto"/>
              <w:right w:val="single" w:sz="4" w:space="0" w:color="auto"/>
            </w:tcBorders>
            <w:shd w:val="clear" w:color="auto" w:fill="auto"/>
            <w:hideMark/>
          </w:tcPr>
          <w:p w:rsidR="000C0CDA" w:rsidRPr="00237823" w:rsidRDefault="000C0CDA" w:rsidP="00237823">
            <w:pPr>
              <w:rPr>
                <w:color w:val="000000"/>
                <w:sz w:val="20"/>
                <w:szCs w:val="20"/>
              </w:rPr>
            </w:pPr>
            <w:r w:rsidRPr="00237823">
              <w:rPr>
                <w:color w:val="000000"/>
                <w:sz w:val="20"/>
                <w:szCs w:val="20"/>
              </w:rPr>
              <w:t>Прочая продукция</w:t>
            </w:r>
          </w:p>
        </w:tc>
        <w:tc>
          <w:tcPr>
            <w:tcW w:w="1134" w:type="dxa"/>
            <w:tcBorders>
              <w:top w:val="nil"/>
              <w:left w:val="nil"/>
              <w:bottom w:val="single" w:sz="4" w:space="0" w:color="auto"/>
              <w:right w:val="single" w:sz="4" w:space="0" w:color="auto"/>
            </w:tcBorders>
            <w:shd w:val="clear" w:color="000000" w:fill="FFFF00"/>
            <w:noWrap/>
            <w:vAlign w:val="bottom"/>
            <w:hideMark/>
          </w:tcPr>
          <w:p w:rsidR="000C0CDA" w:rsidRPr="000C0CDA" w:rsidRDefault="000C0CDA" w:rsidP="008162BC">
            <w:pPr>
              <w:jc w:val="center"/>
              <w:rPr>
                <w:color w:val="000000"/>
                <w:sz w:val="20"/>
                <w:szCs w:val="20"/>
              </w:rPr>
            </w:pPr>
            <w:r w:rsidRPr="000C0CDA">
              <w:rPr>
                <w:color w:val="000000"/>
                <w:sz w:val="20"/>
                <w:szCs w:val="20"/>
              </w:rPr>
              <w:t>48</w:t>
            </w:r>
          </w:p>
        </w:tc>
        <w:tc>
          <w:tcPr>
            <w:tcW w:w="2268" w:type="dxa"/>
            <w:tcBorders>
              <w:top w:val="nil"/>
              <w:left w:val="nil"/>
              <w:bottom w:val="single" w:sz="4" w:space="0" w:color="auto"/>
              <w:right w:val="single" w:sz="4" w:space="0" w:color="auto"/>
            </w:tcBorders>
            <w:shd w:val="clear" w:color="000000" w:fill="FFFF00"/>
            <w:vAlign w:val="bottom"/>
            <w:hideMark/>
          </w:tcPr>
          <w:p w:rsidR="000C0CDA" w:rsidRPr="000C0CDA" w:rsidRDefault="000C0CDA" w:rsidP="008162BC">
            <w:pPr>
              <w:jc w:val="center"/>
              <w:rPr>
                <w:color w:val="000000"/>
                <w:sz w:val="20"/>
                <w:szCs w:val="20"/>
              </w:rPr>
            </w:pPr>
            <w:r w:rsidRPr="000C0CDA">
              <w:rPr>
                <w:color w:val="000000"/>
                <w:sz w:val="20"/>
                <w:szCs w:val="20"/>
              </w:rPr>
              <w:t>43</w:t>
            </w:r>
          </w:p>
        </w:tc>
        <w:tc>
          <w:tcPr>
            <w:tcW w:w="2268" w:type="dxa"/>
            <w:tcBorders>
              <w:top w:val="nil"/>
              <w:left w:val="nil"/>
              <w:bottom w:val="single" w:sz="4" w:space="0" w:color="auto"/>
              <w:right w:val="single" w:sz="4" w:space="0" w:color="auto"/>
            </w:tcBorders>
            <w:shd w:val="clear" w:color="auto" w:fill="auto"/>
            <w:noWrap/>
            <w:vAlign w:val="bottom"/>
            <w:hideMark/>
          </w:tcPr>
          <w:p w:rsidR="000C0CDA" w:rsidRPr="000C0CDA" w:rsidRDefault="000C0CDA" w:rsidP="008162BC">
            <w:pPr>
              <w:jc w:val="center"/>
              <w:rPr>
                <w:color w:val="000000"/>
                <w:sz w:val="20"/>
                <w:szCs w:val="20"/>
              </w:rPr>
            </w:pPr>
            <w:r w:rsidRPr="000C0CDA">
              <w:rPr>
                <w:color w:val="000000"/>
                <w:sz w:val="20"/>
                <w:szCs w:val="20"/>
              </w:rPr>
              <w:t>10</w:t>
            </w:r>
          </w:p>
        </w:tc>
      </w:tr>
    </w:tbl>
    <w:p w:rsidR="003640A5" w:rsidRPr="004E6D6E" w:rsidRDefault="003640A5" w:rsidP="003640A5">
      <w:pPr>
        <w:spacing w:before="120"/>
        <w:jc w:val="both"/>
      </w:pPr>
      <w:r>
        <w:t>Между тем, несмотря на принимаемые правительством Узбекистана меры, в стране</w:t>
      </w:r>
      <w:r w:rsidRPr="004E6D6E">
        <w:t xml:space="preserve"> пока еще </w:t>
      </w:r>
      <w:r w:rsidR="000D0B1C">
        <w:t>имеются</w:t>
      </w:r>
      <w:r w:rsidRPr="004E6D6E">
        <w:t xml:space="preserve"> </w:t>
      </w:r>
      <w:r w:rsidRPr="0018091F">
        <w:rPr>
          <w:b/>
          <w:i/>
        </w:rPr>
        <w:t>существенные сложности при проведении экспортных операций</w:t>
      </w:r>
      <w:r w:rsidRPr="004E6D6E">
        <w:t>. Ранее проведенные опросы узбекских предпринимателей</w:t>
      </w:r>
      <w:r>
        <w:rPr>
          <w:rStyle w:val="a5"/>
        </w:rPr>
        <w:footnoteReference w:id="21"/>
      </w:r>
      <w:r w:rsidRPr="004E6D6E">
        <w:t xml:space="preserve"> позволяют определить наиболее важные барьеры при осуществлении </w:t>
      </w:r>
      <w:r>
        <w:t>экспорта</w:t>
      </w:r>
      <w:r w:rsidRPr="004E6D6E">
        <w:t>:</w:t>
      </w:r>
    </w:p>
    <w:p w:rsidR="003640A5" w:rsidRPr="005E550D" w:rsidRDefault="003640A5" w:rsidP="003640A5">
      <w:pPr>
        <w:autoSpaceDE w:val="0"/>
        <w:autoSpaceDN w:val="0"/>
        <w:adjustRightInd w:val="0"/>
        <w:spacing w:before="120"/>
        <w:jc w:val="both"/>
        <w:rPr>
          <w:color w:val="000000"/>
          <w:spacing w:val="-1"/>
        </w:rPr>
      </w:pPr>
      <w:r w:rsidRPr="005E550D">
        <w:rPr>
          <w:color w:val="000000"/>
        </w:rPr>
        <w:lastRenderedPageBreak/>
        <w:t xml:space="preserve">- требование </w:t>
      </w:r>
      <w:r w:rsidRPr="005E550D">
        <w:rPr>
          <w:color w:val="000000"/>
          <w:spacing w:val="-1"/>
        </w:rPr>
        <w:t>100% предоплаты по экспортным контрактам (из-за которого многие потенциальные контракты на экспорт не заключаются, так как зарубежных покупателей зачастую не устраивают такие жесткие условия сделки со стороны продавца);</w:t>
      </w:r>
    </w:p>
    <w:p w:rsidR="003640A5" w:rsidRPr="005E550D" w:rsidRDefault="003640A5" w:rsidP="003640A5">
      <w:pPr>
        <w:autoSpaceDE w:val="0"/>
        <w:autoSpaceDN w:val="0"/>
        <w:adjustRightInd w:val="0"/>
        <w:spacing w:before="120"/>
        <w:jc w:val="both"/>
        <w:rPr>
          <w:color w:val="000000"/>
          <w:spacing w:val="-1"/>
        </w:rPr>
      </w:pPr>
      <w:r w:rsidRPr="005E550D">
        <w:rPr>
          <w:color w:val="000000"/>
          <w:spacing w:val="-1"/>
        </w:rPr>
        <w:t>- жесткие санкции за несвоевременное поступление оплаты по экспортным контрактам (предприниматель наказывается за нарушение договора зарубежным покупателем его продукции, причем наказывается дважды: неполучением или несвоевременным получением денег и 100% штрафом налоговой инспекции);</w:t>
      </w:r>
    </w:p>
    <w:p w:rsidR="003640A5" w:rsidRPr="005E550D" w:rsidRDefault="003640A5" w:rsidP="003640A5">
      <w:pPr>
        <w:spacing w:before="120"/>
        <w:jc w:val="both"/>
      </w:pPr>
      <w:r w:rsidRPr="005E550D">
        <w:t>- длительные сроки возврата НДС при экспорте;</w:t>
      </w:r>
    </w:p>
    <w:p w:rsidR="003640A5" w:rsidRPr="005E550D" w:rsidRDefault="003640A5" w:rsidP="003640A5">
      <w:pPr>
        <w:spacing w:before="120"/>
        <w:jc w:val="both"/>
      </w:pPr>
      <w:r w:rsidRPr="005E550D">
        <w:t>- завышенный курс сума, дестимулирующий экспорт</w:t>
      </w:r>
      <w:r w:rsidRPr="005E550D">
        <w:rPr>
          <w:rStyle w:val="a5"/>
        </w:rPr>
        <w:footnoteReference w:id="22"/>
      </w:r>
      <w:r w:rsidRPr="005E550D">
        <w:t>;</w:t>
      </w:r>
    </w:p>
    <w:p w:rsidR="003640A5" w:rsidRPr="005E550D" w:rsidRDefault="003640A5" w:rsidP="003640A5">
      <w:pPr>
        <w:spacing w:before="120"/>
        <w:jc w:val="both"/>
      </w:pPr>
      <w:r w:rsidRPr="005E550D">
        <w:t>- проблемы с закупкой импортного сырья, материалов и комплектующих</w:t>
      </w:r>
      <w:r w:rsidRPr="005E550D">
        <w:rPr>
          <w:rStyle w:val="a5"/>
        </w:rPr>
        <w:footnoteReference w:id="23"/>
      </w:r>
      <w:r w:rsidRPr="005E550D">
        <w:t>, связанные со сложностями с конвертацией национальной валюты (длительные задержки при рассмотрении заявок и отказы банков в конвертации, замораживание денег на счетах на период рассмотрения заявки на конвертацию) и с высокими таможенными платежами (пошлина, акциз и НДС)</w:t>
      </w:r>
      <w:r w:rsidRPr="005E550D">
        <w:rPr>
          <w:rStyle w:val="a5"/>
        </w:rPr>
        <w:footnoteReference w:id="24"/>
      </w:r>
      <w:r w:rsidRPr="005E550D">
        <w:t>;</w:t>
      </w:r>
    </w:p>
    <w:p w:rsidR="003640A5" w:rsidRDefault="003640A5" w:rsidP="003640A5">
      <w:pPr>
        <w:spacing w:before="120"/>
        <w:jc w:val="both"/>
      </w:pPr>
      <w:r w:rsidRPr="005E550D">
        <w:t>- требование обязательной продажи части валютной выручки, что в условиях завышенного курса сума и наличия существенного разрыва между официальными и «черными» курсами иностранной валюты, уменьшает доходы от экспорта.</w:t>
      </w:r>
      <w:r w:rsidRPr="004E6D6E">
        <w:t xml:space="preserve"> </w:t>
      </w:r>
    </w:p>
    <w:tbl>
      <w:tblPr>
        <w:tblStyle w:val="af5"/>
        <w:tblW w:w="0" w:type="auto"/>
        <w:tblLook w:val="04A0"/>
      </w:tblPr>
      <w:tblGrid>
        <w:gridCol w:w="9571"/>
      </w:tblGrid>
      <w:tr w:rsidR="005E550D" w:rsidTr="005E550D">
        <w:tc>
          <w:tcPr>
            <w:tcW w:w="9571" w:type="dxa"/>
            <w:shd w:val="clear" w:color="auto" w:fill="D9D9D9" w:themeFill="background1" w:themeFillShade="D9"/>
          </w:tcPr>
          <w:p w:rsidR="005E550D" w:rsidRPr="00CE3286" w:rsidRDefault="005E550D" w:rsidP="005E550D">
            <w:pPr>
              <w:spacing w:before="100" w:afterAutospacing="0"/>
              <w:rPr>
                <w:b/>
              </w:rPr>
            </w:pPr>
            <w:r w:rsidRPr="00CE3286">
              <w:rPr>
                <w:b/>
              </w:rPr>
              <w:t>Меры правительства Узбекистана по стимулированию экспорта</w:t>
            </w:r>
          </w:p>
          <w:p w:rsidR="005E550D" w:rsidRPr="00CE3286" w:rsidRDefault="005E550D" w:rsidP="005E550D">
            <w:pPr>
              <w:spacing w:before="100" w:afterAutospacing="0"/>
              <w:jc w:val="both"/>
            </w:pPr>
            <w:r w:rsidRPr="00CE3286">
              <w:t xml:space="preserve">7-го января 2011 года было принято постановление Президента Республики Узбекистан №1464 «О Программе мер по углублению и расширению масштабов реформ в экономике Узбекистана на период 2011-2015 годы, определению и реализации системы критериев и оценок по формированию в стране делового климата». В </w:t>
            </w:r>
            <w:r>
              <w:t xml:space="preserve">соответствии с данным документом </w:t>
            </w:r>
            <w:r w:rsidRPr="00CE3286">
              <w:t xml:space="preserve">в 2011 году предполагается принятие </w:t>
            </w:r>
            <w:r>
              <w:t xml:space="preserve">следующих мер по </w:t>
            </w:r>
            <w:r w:rsidRPr="00CE3286">
              <w:t>либерализации внешнеэкономической деятельности, стимулировани</w:t>
            </w:r>
            <w:r>
              <w:t>ю</w:t>
            </w:r>
            <w:r w:rsidRPr="00CE3286">
              <w:t xml:space="preserve"> экспорт</w:t>
            </w:r>
            <w:r>
              <w:t>а</w:t>
            </w:r>
            <w:r w:rsidRPr="00CE3286">
              <w:t xml:space="preserve"> и упрощени</w:t>
            </w:r>
            <w:r>
              <w:t>ю</w:t>
            </w:r>
            <w:r w:rsidRPr="00CE3286">
              <w:t xml:space="preserve"> таможенного администрирования:</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rPr>
                <w:color w:val="000000"/>
              </w:rPr>
            </w:pPr>
            <w:r w:rsidRPr="00CE3286">
              <w:rPr>
                <w:color w:val="000000"/>
              </w:rPr>
              <w:t>Введение для экспортных операций принципа «одного окна», при котором вся требуемая документация предоставляется хозяйствующим субъекта</w:t>
            </w:r>
            <w:r>
              <w:rPr>
                <w:color w:val="000000"/>
              </w:rPr>
              <w:t>м-экспортерам в одном помещении.</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pPr>
            <w:r w:rsidRPr="00CE3286">
              <w:rPr>
                <w:color w:val="000000"/>
              </w:rPr>
              <w:t>Для предприятий малого бизнеса и частного предпринимательства по экспортированным товарам собственного производства за исключением сырьевых товаров - продление с 30 дней до 60 дней срока, после которого начисляется штраф за несвоевременное поступление экспортной выручки на не поступившую сумму валютной выручки.</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pPr>
            <w:r w:rsidRPr="00CE3286">
              <w:rPr>
                <w:color w:val="000000"/>
              </w:rPr>
              <w:t>Возврат юридическим лицам-резидентам взысканных штрафов за задержку установленных сроков поступления валютной выручки с удержанием:</w:t>
            </w:r>
          </w:p>
          <w:p w:rsidR="005E550D" w:rsidRPr="00CE3286" w:rsidRDefault="005E550D" w:rsidP="005E550D">
            <w:pPr>
              <w:pStyle w:val="a6"/>
              <w:numPr>
                <w:ilvl w:val="0"/>
                <w:numId w:val="24"/>
              </w:numPr>
              <w:shd w:val="clear" w:color="auto" w:fill="D9D9D9" w:themeFill="background1" w:themeFillShade="D9"/>
              <w:spacing w:before="100" w:afterAutospacing="0"/>
              <w:ind w:left="0" w:firstLine="0"/>
              <w:jc w:val="both"/>
            </w:pPr>
            <w:r w:rsidRPr="00CE3286">
              <w:rPr>
                <w:color w:val="000000"/>
              </w:rPr>
              <w:t>10% от суммы штрафа при поступлении валютной выручки с  задержкой до шести месяцев от установленных сроков;</w:t>
            </w:r>
          </w:p>
          <w:p w:rsidR="005E550D" w:rsidRPr="00CE3286" w:rsidRDefault="005E550D" w:rsidP="005E550D">
            <w:pPr>
              <w:pStyle w:val="a6"/>
              <w:numPr>
                <w:ilvl w:val="0"/>
                <w:numId w:val="24"/>
              </w:numPr>
              <w:shd w:val="clear" w:color="auto" w:fill="D9D9D9" w:themeFill="background1" w:themeFillShade="D9"/>
              <w:spacing w:before="100" w:afterAutospacing="0"/>
              <w:ind w:left="0" w:firstLine="0"/>
              <w:jc w:val="both"/>
            </w:pPr>
            <w:r w:rsidRPr="00CE3286">
              <w:rPr>
                <w:color w:val="000000"/>
              </w:rPr>
              <w:t>20% от суммы штрафа при поступлении валютной выручки с задержкой свыше шести месяцев от установленных сроков.</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rPr>
                <w:color w:val="000000"/>
              </w:rPr>
            </w:pPr>
            <w:r w:rsidRPr="00CE3286">
              <w:rPr>
                <w:color w:val="000000"/>
              </w:rPr>
              <w:t>Оптимизаци</w:t>
            </w:r>
            <w:r>
              <w:rPr>
                <w:color w:val="000000"/>
              </w:rPr>
              <w:t>я</w:t>
            </w:r>
            <w:r w:rsidRPr="00CE3286">
              <w:rPr>
                <w:color w:val="000000"/>
              </w:rPr>
              <w:t xml:space="preserve"> действующего перечня товаров, подлежащих обязательной сертификации при экспорте, за счет перевода отдельных товаров в перечень продукции, подлежащей декларированию соответствия, и исключение требования по сертификации продукции в случаях, </w:t>
            </w:r>
            <w:r w:rsidRPr="00CE3286">
              <w:rPr>
                <w:color w:val="000000"/>
              </w:rPr>
              <w:lastRenderedPageBreak/>
              <w:t>когда национальные сертификаты не признаются или не соответствуют требованиям в стране назначения,</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rPr>
                <w:color w:val="000000"/>
              </w:rPr>
            </w:pPr>
            <w:r w:rsidRPr="00CE3286">
              <w:rPr>
                <w:color w:val="000000"/>
              </w:rPr>
              <w:t>Создание при Агентстве «Узстандарт» Бюро по содействию экспорту продукции, оказывающего предприятиям-производителям экспортной продукции бесплатные консультационные услуги по международным и страновым требованиям по стандартам, сертификации, маркировк</w:t>
            </w:r>
            <w:r>
              <w:rPr>
                <w:color w:val="000000"/>
              </w:rPr>
              <w:t>е</w:t>
            </w:r>
            <w:r w:rsidRPr="00CE3286">
              <w:rPr>
                <w:color w:val="000000"/>
              </w:rPr>
              <w:t>, упаковке продукции и другим параметрам.</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rPr>
                <w:color w:val="000000"/>
              </w:rPr>
            </w:pPr>
            <w:r w:rsidRPr="00CE3286">
              <w:rPr>
                <w:color w:val="000000"/>
              </w:rPr>
              <w:t>Увеличение срока проведения факторинговых операций коммерческими банками с 60 до 90 дней по договоренности сторон для расширения финансирования экспортных сделок.</w:t>
            </w:r>
          </w:p>
          <w:p w:rsidR="005E550D" w:rsidRPr="00CE3286" w:rsidRDefault="005E550D" w:rsidP="005E550D">
            <w:pPr>
              <w:pStyle w:val="a6"/>
              <w:numPr>
                <w:ilvl w:val="0"/>
                <w:numId w:val="23"/>
              </w:numPr>
              <w:shd w:val="clear" w:color="auto" w:fill="D9D9D9" w:themeFill="background1" w:themeFillShade="D9"/>
              <w:spacing w:before="100" w:afterAutospacing="0"/>
              <w:ind w:left="0" w:firstLine="0"/>
              <w:jc w:val="both"/>
              <w:rPr>
                <w:color w:val="000000"/>
              </w:rPr>
            </w:pPr>
            <w:r w:rsidRPr="00CE3286">
              <w:rPr>
                <w:color w:val="000000"/>
              </w:rPr>
              <w:t>Запрещение проведения посттаможенной дооценки импортных товаров и доначисления таможенных платежей по истечении 3 лет с момента таможенной очистки товаров.</w:t>
            </w:r>
          </w:p>
          <w:p w:rsidR="005E550D" w:rsidRDefault="005E550D" w:rsidP="005E550D">
            <w:pPr>
              <w:pStyle w:val="a6"/>
              <w:numPr>
                <w:ilvl w:val="0"/>
                <w:numId w:val="23"/>
              </w:numPr>
              <w:shd w:val="clear" w:color="auto" w:fill="D9D9D9" w:themeFill="background1" w:themeFillShade="D9"/>
              <w:spacing w:before="100" w:afterAutospacing="0"/>
              <w:ind w:left="0" w:firstLine="0"/>
              <w:jc w:val="both"/>
            </w:pPr>
            <w:r w:rsidRPr="00CE3286">
              <w:rPr>
                <w:color w:val="000000"/>
              </w:rPr>
              <w:t>Поэтапное внедрение системы электронного декларирования товаров на основе успешного опыта зарубежных стран.</w:t>
            </w:r>
          </w:p>
        </w:tc>
      </w:tr>
    </w:tbl>
    <w:p w:rsidR="005E550D" w:rsidRDefault="005E550D" w:rsidP="003640A5">
      <w:pPr>
        <w:spacing w:before="120"/>
        <w:jc w:val="both"/>
      </w:pPr>
    </w:p>
    <w:p w:rsidR="00142305" w:rsidRDefault="00142305" w:rsidP="00746A3F">
      <w:pPr>
        <w:spacing w:before="120"/>
        <w:jc w:val="both"/>
        <w:rPr>
          <w:b/>
        </w:rPr>
      </w:pPr>
      <w:r>
        <w:rPr>
          <w:b/>
        </w:rPr>
        <w:br w:type="page"/>
      </w:r>
    </w:p>
    <w:p w:rsidR="0035013D" w:rsidRPr="00E531C7" w:rsidRDefault="0035013D" w:rsidP="0035013D">
      <w:pPr>
        <w:spacing w:before="120"/>
        <w:jc w:val="center"/>
        <w:rPr>
          <w:b/>
          <w:sz w:val="28"/>
          <w:szCs w:val="28"/>
        </w:rPr>
      </w:pPr>
      <w:r w:rsidRPr="00E531C7">
        <w:rPr>
          <w:b/>
          <w:sz w:val="28"/>
          <w:szCs w:val="28"/>
        </w:rPr>
        <w:lastRenderedPageBreak/>
        <w:t xml:space="preserve">2.3. </w:t>
      </w:r>
      <w:r w:rsidR="00CA14FF" w:rsidRPr="00E531C7">
        <w:rPr>
          <w:b/>
          <w:sz w:val="28"/>
          <w:szCs w:val="28"/>
        </w:rPr>
        <w:t>Д</w:t>
      </w:r>
      <w:r w:rsidRPr="00E531C7">
        <w:rPr>
          <w:b/>
          <w:sz w:val="28"/>
          <w:szCs w:val="28"/>
        </w:rPr>
        <w:t xml:space="preserve">оступ </w:t>
      </w:r>
      <w:r w:rsidRPr="00B6758D">
        <w:rPr>
          <w:b/>
          <w:sz w:val="28"/>
          <w:szCs w:val="28"/>
        </w:rPr>
        <w:t>к капиталу</w:t>
      </w:r>
      <w:r w:rsidR="00F62B62" w:rsidRPr="00B6758D">
        <w:rPr>
          <w:b/>
          <w:sz w:val="28"/>
          <w:szCs w:val="28"/>
        </w:rPr>
        <w:t xml:space="preserve"> и инвестиционный климат</w:t>
      </w:r>
      <w:r w:rsidRPr="00E531C7">
        <w:rPr>
          <w:b/>
          <w:sz w:val="28"/>
          <w:szCs w:val="28"/>
        </w:rPr>
        <w:t xml:space="preserve"> </w:t>
      </w:r>
    </w:p>
    <w:p w:rsidR="00F80C95" w:rsidRDefault="00F80C95" w:rsidP="00756F94">
      <w:pPr>
        <w:spacing w:before="120"/>
        <w:jc w:val="both"/>
      </w:pPr>
    </w:p>
    <w:p w:rsidR="00756F94" w:rsidRDefault="009D43DD" w:rsidP="00756F94">
      <w:pPr>
        <w:spacing w:before="120"/>
        <w:jc w:val="both"/>
      </w:pPr>
      <w:r w:rsidRPr="009D43DD">
        <w:rPr>
          <w:b/>
        </w:rPr>
        <w:t>О</w:t>
      </w:r>
      <w:r>
        <w:rPr>
          <w:b/>
        </w:rPr>
        <w:t>с</w:t>
      </w:r>
      <w:r w:rsidRPr="009D43DD">
        <w:rPr>
          <w:b/>
        </w:rPr>
        <w:t>новной капитал, инвестиции в основной капитал</w:t>
      </w:r>
      <w:r>
        <w:t xml:space="preserve">. </w:t>
      </w:r>
      <w:r w:rsidR="00294928" w:rsidRPr="00294928">
        <w:t xml:space="preserve">Экономический потенциал регионов, а, следовательно, и потенциал в повышении </w:t>
      </w:r>
      <w:r w:rsidR="00294928">
        <w:t>благосостояния их жителей завис</w:t>
      </w:r>
      <w:r w:rsidR="0049677E">
        <w:t>я</w:t>
      </w:r>
      <w:r w:rsidR="00294928">
        <w:t xml:space="preserve">т от </w:t>
      </w:r>
      <w:r w:rsidR="00756F94">
        <w:t>размеров и качества</w:t>
      </w:r>
      <w:r w:rsidR="00294928">
        <w:t xml:space="preserve"> </w:t>
      </w:r>
      <w:r w:rsidR="00294928" w:rsidRPr="009D43DD">
        <w:rPr>
          <w:b/>
          <w:i/>
        </w:rPr>
        <w:t>накопленного физического капитала</w:t>
      </w:r>
      <w:r w:rsidR="00294928">
        <w:t>.</w:t>
      </w:r>
      <w:r w:rsidR="00756F94">
        <w:t xml:space="preserve"> Накопленный физический капитал (здания, сооружения, оборудование, транспортные средства и т.д.) - важнейший ресурс, который позволяет людям генерировать доходы. Дело в том, что, физический капитал способен повышать производительность труда, а, следовательно, содействовать созданию большего числа полезных благ и повышать уровень доходов участников производственного процесса.</w:t>
      </w:r>
    </w:p>
    <w:p w:rsidR="00756F94" w:rsidRDefault="00756F94" w:rsidP="00756F94">
      <w:pPr>
        <w:spacing w:before="120"/>
        <w:jc w:val="both"/>
      </w:pPr>
      <w:r>
        <w:t xml:space="preserve">Ценность накопленного физического капитала отражает показатель </w:t>
      </w:r>
      <w:r w:rsidRPr="009D43DD">
        <w:rPr>
          <w:b/>
          <w:i/>
        </w:rPr>
        <w:t>стоимости основных фондов</w:t>
      </w:r>
      <w:r>
        <w:t>. В 2008 году стоимость основных фондов страны составила 57</w:t>
      </w:r>
      <w:r w:rsidR="0086108F">
        <w:t xml:space="preserve"> </w:t>
      </w:r>
      <w:r>
        <w:t>547,2 млрд</w:t>
      </w:r>
      <w:r w:rsidR="001B6C87">
        <w:t>.</w:t>
      </w:r>
      <w:r>
        <w:t xml:space="preserve"> сум или более 2,1 млн. сум на человека. </w:t>
      </w:r>
    </w:p>
    <w:p w:rsidR="0074323B" w:rsidRDefault="00756F94" w:rsidP="0074323B">
      <w:pPr>
        <w:spacing w:before="120"/>
        <w:jc w:val="both"/>
      </w:pPr>
      <w:r>
        <w:t>Сравнени</w:t>
      </w:r>
      <w:r w:rsidR="0086108F">
        <w:t>е стоимости основных фондов на одного</w:t>
      </w:r>
      <w:r>
        <w:t xml:space="preserve"> жителя региона и на </w:t>
      </w:r>
      <w:r w:rsidR="0086108F">
        <w:t>одного</w:t>
      </w:r>
      <w:r>
        <w:t xml:space="preserve"> занятого (см. </w:t>
      </w:r>
      <w:r w:rsidRPr="005842DE">
        <w:rPr>
          <w:highlight w:val="yellow"/>
        </w:rPr>
        <w:t xml:space="preserve">Рисунок </w:t>
      </w:r>
      <w:r w:rsidR="00DF77D5" w:rsidRPr="00DF77D5">
        <w:rPr>
          <w:highlight w:val="yellow"/>
        </w:rPr>
        <w:t>2.16</w:t>
      </w:r>
      <w:r w:rsidR="00DF77D5">
        <w:t>)</w:t>
      </w:r>
      <w:r>
        <w:t xml:space="preserve"> показывают, что жители регионов с высоким уровнем экономического индекса человеческого развития в среднем обладают накопленным капиталом более высокой стоимости.</w:t>
      </w:r>
      <w:r w:rsidR="0074323B">
        <w:t xml:space="preserve"> Иными словами</w:t>
      </w:r>
      <w:r w:rsidR="009F60EF">
        <w:t>, имеет место закономерность</w:t>
      </w:r>
      <w:r w:rsidR="0074323B">
        <w:t xml:space="preserve">: </w:t>
      </w:r>
      <w:r w:rsidR="0074323B">
        <w:rPr>
          <w:b/>
          <w:i/>
        </w:rPr>
        <w:t>ч</w:t>
      </w:r>
      <w:r w:rsidR="0074323B" w:rsidRPr="00BC3483">
        <w:rPr>
          <w:b/>
          <w:i/>
        </w:rPr>
        <w:t>ем больше капитала, тем больше возможностей генерировать доходы и повышать уровень жизни</w:t>
      </w:r>
      <w:r w:rsidR="0074323B">
        <w:t xml:space="preserve">. </w:t>
      </w:r>
    </w:p>
    <w:p w:rsidR="00756F94" w:rsidRPr="005842DE" w:rsidRDefault="00756F94" w:rsidP="00756F94">
      <w:pPr>
        <w:spacing w:before="120"/>
        <w:jc w:val="both"/>
        <w:rPr>
          <w:b/>
        </w:rPr>
      </w:pPr>
      <w:r>
        <w:rPr>
          <w:b/>
        </w:rPr>
        <w:t xml:space="preserve">Рисунок </w:t>
      </w:r>
      <w:r w:rsidR="00DF77D5">
        <w:rPr>
          <w:b/>
        </w:rPr>
        <w:t>2</w:t>
      </w:r>
      <w:r w:rsidRPr="005842DE">
        <w:rPr>
          <w:b/>
        </w:rPr>
        <w:t>.</w:t>
      </w:r>
      <w:r w:rsidR="00DF77D5">
        <w:rPr>
          <w:b/>
        </w:rPr>
        <w:t>16.</w:t>
      </w:r>
      <w:r w:rsidRPr="005842DE">
        <w:rPr>
          <w:b/>
        </w:rPr>
        <w:t xml:space="preserve"> Стоимость основных фондов (полная балансовая стоимость на конец года) на численность населения и на численность занятых в 2008 г., млн. сум.</w:t>
      </w:r>
    </w:p>
    <w:p w:rsidR="00756F94" w:rsidRDefault="00136C24" w:rsidP="00756F94">
      <w:pPr>
        <w:spacing w:before="120"/>
        <w:jc w:val="center"/>
      </w:pPr>
      <w:r w:rsidRPr="00136C24">
        <w:rPr>
          <w:noProof/>
        </w:rPr>
        <w:drawing>
          <wp:inline distT="0" distB="0" distL="0" distR="0">
            <wp:extent cx="4572000" cy="2738437"/>
            <wp:effectExtent l="19050" t="0" r="19050" b="4763"/>
            <wp:docPr id="4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531C7" w:rsidRPr="001E543F" w:rsidRDefault="00756F94" w:rsidP="00E531C7">
      <w:pPr>
        <w:spacing w:before="120"/>
        <w:jc w:val="both"/>
      </w:pPr>
      <w:r>
        <w:t xml:space="preserve">Отсюда можно сделать вывод о значительности роли в повышении уровня жизни </w:t>
      </w:r>
      <w:r w:rsidRPr="009D43DD">
        <w:rPr>
          <w:b/>
          <w:i/>
        </w:rPr>
        <w:t>инвестиций в основной капитал</w:t>
      </w:r>
      <w:r>
        <w:t xml:space="preserve">. Межрегиональные различия по этому показателю представлены в </w:t>
      </w:r>
      <w:r w:rsidR="0086108F">
        <w:rPr>
          <w:highlight w:val="yellow"/>
        </w:rPr>
        <w:t xml:space="preserve">Таблице </w:t>
      </w:r>
      <w:r w:rsidR="00DF77D5">
        <w:rPr>
          <w:highlight w:val="yellow"/>
        </w:rPr>
        <w:t>2.8</w:t>
      </w:r>
      <w:r w:rsidR="0086108F">
        <w:rPr>
          <w:highlight w:val="yellow"/>
        </w:rPr>
        <w:t xml:space="preserve"> и Рисунках 2</w:t>
      </w:r>
      <w:r w:rsidR="00DF77D5">
        <w:rPr>
          <w:highlight w:val="yellow"/>
        </w:rPr>
        <w:t>.17-2.18</w:t>
      </w:r>
      <w:r>
        <w:t xml:space="preserve">. </w:t>
      </w:r>
      <w:r w:rsidR="00494A0F">
        <w:t xml:space="preserve">Мы видим, что </w:t>
      </w:r>
      <w:r w:rsidR="00DB3E38">
        <w:t xml:space="preserve">если распределение потоков государственных инвестиций не зависит от уровня ЭИЧР, то </w:t>
      </w:r>
      <w:r w:rsidR="00494A0F">
        <w:t>инвестиционная активность частного сектора более высока в регионах с более высоким уровнем ЭИЧР.</w:t>
      </w:r>
      <w:r w:rsidR="009F60EF">
        <w:t xml:space="preserve"> </w:t>
      </w:r>
      <w:r w:rsidR="00E531C7" w:rsidRPr="001E543F">
        <w:t xml:space="preserve">Почему существую такие значительные межрегиональные различия в объемах инвестиций в основной капитал? </w:t>
      </w:r>
    </w:p>
    <w:p w:rsidR="00E531C7" w:rsidRDefault="00E531C7" w:rsidP="00E531C7">
      <w:pPr>
        <w:spacing w:before="120"/>
        <w:jc w:val="both"/>
      </w:pPr>
      <w:r>
        <w:t>Во-первых, это связанно с отраслевой структурой экономики. Основные инвестиции в Узбекистане идут в сферу промышленности. Соответственно, в тех регионах, где промышленность развивается более активно</w:t>
      </w:r>
      <w:r w:rsidR="00C77759">
        <w:t>,</w:t>
      </w:r>
      <w:r>
        <w:t xml:space="preserve"> объемы инвестиций, как правило, выше.</w:t>
      </w:r>
      <w:r w:rsidR="00DB3E38">
        <w:t xml:space="preserve"> А мы уже выяснили, что регионы с высоким уровнем ЭИЧР более промышленно развиты.</w:t>
      </w:r>
    </w:p>
    <w:p w:rsidR="00756F94" w:rsidRPr="00FF07A1" w:rsidRDefault="00756F94" w:rsidP="00756F94">
      <w:pPr>
        <w:spacing w:before="120"/>
        <w:jc w:val="both"/>
        <w:rPr>
          <w:b/>
        </w:rPr>
      </w:pPr>
      <w:r w:rsidRPr="00FF07A1">
        <w:rPr>
          <w:b/>
        </w:rPr>
        <w:lastRenderedPageBreak/>
        <w:t xml:space="preserve">Таблица </w:t>
      </w:r>
      <w:r w:rsidR="00DF77D5">
        <w:rPr>
          <w:b/>
        </w:rPr>
        <w:t>2</w:t>
      </w:r>
      <w:r w:rsidRPr="00FF07A1">
        <w:rPr>
          <w:b/>
        </w:rPr>
        <w:t>.</w:t>
      </w:r>
      <w:r w:rsidR="00DF77D5">
        <w:rPr>
          <w:b/>
        </w:rPr>
        <w:t>8.</w:t>
      </w:r>
      <w:r w:rsidRPr="00FF07A1">
        <w:rPr>
          <w:b/>
        </w:rPr>
        <w:t xml:space="preserve"> Инвестиции в основной капитал на 1 чел, </w:t>
      </w:r>
      <w:r>
        <w:rPr>
          <w:b/>
        </w:rPr>
        <w:t xml:space="preserve">средние значения за 2004-2008 гг., </w:t>
      </w:r>
      <w:r w:rsidRPr="00FF07A1">
        <w:rPr>
          <w:b/>
        </w:rPr>
        <w:t xml:space="preserve">в тыс. </w:t>
      </w:r>
      <w:r>
        <w:rPr>
          <w:b/>
        </w:rPr>
        <w:t>сум (в ценах 2005 г.)</w:t>
      </w:r>
    </w:p>
    <w:tbl>
      <w:tblPr>
        <w:tblW w:w="9746" w:type="dxa"/>
        <w:tblInd w:w="100" w:type="dxa"/>
        <w:tblLayout w:type="fixed"/>
        <w:tblLook w:val="04A0"/>
      </w:tblPr>
      <w:tblGrid>
        <w:gridCol w:w="2418"/>
        <w:gridCol w:w="1021"/>
        <w:gridCol w:w="1154"/>
        <w:gridCol w:w="1085"/>
        <w:gridCol w:w="1017"/>
        <w:gridCol w:w="992"/>
        <w:gridCol w:w="1110"/>
        <w:gridCol w:w="949"/>
      </w:tblGrid>
      <w:tr w:rsidR="00756F94" w:rsidRPr="00FF07A1" w:rsidTr="00D555F6">
        <w:trPr>
          <w:trHeight w:val="2115"/>
        </w:trPr>
        <w:tc>
          <w:tcPr>
            <w:tcW w:w="2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F94" w:rsidRPr="00FF07A1" w:rsidRDefault="00756F94" w:rsidP="007B2FF8">
            <w:pPr>
              <w:rPr>
                <w:color w:val="000000"/>
                <w:sz w:val="20"/>
                <w:szCs w:val="20"/>
              </w:rPr>
            </w:pPr>
            <w:r w:rsidRPr="00FF07A1">
              <w:rPr>
                <w:color w:val="000000"/>
                <w:sz w:val="20"/>
                <w:szCs w:val="20"/>
              </w:rPr>
              <w:t> </w:t>
            </w:r>
          </w:p>
        </w:tc>
        <w:tc>
          <w:tcPr>
            <w:tcW w:w="1021"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Инвести</w:t>
            </w:r>
            <w:r>
              <w:rPr>
                <w:color w:val="000000"/>
                <w:sz w:val="20"/>
                <w:szCs w:val="20"/>
              </w:rPr>
              <w:t>-</w:t>
            </w:r>
            <w:r w:rsidRPr="00FF07A1">
              <w:rPr>
                <w:color w:val="000000"/>
                <w:sz w:val="20"/>
                <w:szCs w:val="20"/>
              </w:rPr>
              <w:t>ции в основной капитал</w:t>
            </w:r>
            <w:r>
              <w:rPr>
                <w:color w:val="000000"/>
                <w:sz w:val="20"/>
                <w:szCs w:val="20"/>
              </w:rPr>
              <w:t>, всего</w:t>
            </w:r>
          </w:p>
        </w:tc>
        <w:tc>
          <w:tcPr>
            <w:tcW w:w="1154"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Инвести</w:t>
            </w:r>
            <w:r>
              <w:rPr>
                <w:color w:val="000000"/>
                <w:sz w:val="20"/>
                <w:szCs w:val="20"/>
              </w:rPr>
              <w:t>-</w:t>
            </w:r>
            <w:r w:rsidRPr="00FF07A1">
              <w:rPr>
                <w:color w:val="000000"/>
                <w:sz w:val="20"/>
                <w:szCs w:val="20"/>
              </w:rPr>
              <w:t>ции в ОК из средств предпри</w:t>
            </w:r>
            <w:r>
              <w:rPr>
                <w:color w:val="000000"/>
                <w:sz w:val="20"/>
                <w:szCs w:val="20"/>
              </w:rPr>
              <w:t>-</w:t>
            </w:r>
            <w:r w:rsidRPr="00FF07A1">
              <w:rPr>
                <w:color w:val="000000"/>
                <w:sz w:val="20"/>
                <w:szCs w:val="20"/>
              </w:rPr>
              <w:t>ятий и населения</w:t>
            </w:r>
          </w:p>
        </w:tc>
        <w:tc>
          <w:tcPr>
            <w:tcW w:w="1085"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Инвести</w:t>
            </w:r>
            <w:r w:rsidR="00E021A0">
              <w:rPr>
                <w:color w:val="000000"/>
                <w:sz w:val="20"/>
                <w:szCs w:val="20"/>
              </w:rPr>
              <w:t>-</w:t>
            </w:r>
            <w:r w:rsidRPr="00FF07A1">
              <w:rPr>
                <w:color w:val="000000"/>
                <w:sz w:val="20"/>
                <w:szCs w:val="20"/>
              </w:rPr>
              <w:t>ции в ОК от ино</w:t>
            </w:r>
            <w:r w:rsidR="00E021A0">
              <w:rPr>
                <w:color w:val="000000"/>
                <w:sz w:val="20"/>
                <w:szCs w:val="20"/>
              </w:rPr>
              <w:t>-</w:t>
            </w:r>
            <w:r w:rsidRPr="00FF07A1">
              <w:rPr>
                <w:color w:val="000000"/>
                <w:sz w:val="20"/>
                <w:szCs w:val="20"/>
              </w:rPr>
              <w:t>странных инвести</w:t>
            </w:r>
            <w:r w:rsidR="00E021A0">
              <w:rPr>
                <w:color w:val="000000"/>
                <w:sz w:val="20"/>
                <w:szCs w:val="20"/>
              </w:rPr>
              <w:t>-</w:t>
            </w:r>
            <w:r w:rsidRPr="00FF07A1">
              <w:rPr>
                <w:color w:val="000000"/>
                <w:sz w:val="20"/>
                <w:szCs w:val="20"/>
              </w:rPr>
              <w:t>ций и кредитов</w:t>
            </w:r>
          </w:p>
        </w:tc>
        <w:tc>
          <w:tcPr>
            <w:tcW w:w="1017"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Инвести</w:t>
            </w:r>
            <w:r>
              <w:rPr>
                <w:color w:val="000000"/>
                <w:sz w:val="20"/>
                <w:szCs w:val="20"/>
              </w:rPr>
              <w:t>-</w:t>
            </w:r>
            <w:r w:rsidRPr="00FF07A1">
              <w:rPr>
                <w:color w:val="000000"/>
                <w:sz w:val="20"/>
                <w:szCs w:val="20"/>
              </w:rPr>
              <w:t>ции в ОК из средств кредитов банк</w:t>
            </w:r>
            <w:r w:rsidR="00E80600">
              <w:rPr>
                <w:color w:val="000000"/>
                <w:sz w:val="20"/>
                <w:szCs w:val="20"/>
              </w:rPr>
              <w:t>ов</w:t>
            </w:r>
            <w:r w:rsidRPr="00FF07A1">
              <w:rPr>
                <w:color w:val="000000"/>
                <w:sz w:val="20"/>
                <w:szCs w:val="20"/>
              </w:rPr>
              <w:t xml:space="preserve"> и др. займов</w:t>
            </w:r>
          </w:p>
        </w:tc>
        <w:tc>
          <w:tcPr>
            <w:tcW w:w="992"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Государ</w:t>
            </w:r>
            <w:r w:rsidR="00591AC2">
              <w:rPr>
                <w:color w:val="000000"/>
                <w:sz w:val="20"/>
                <w:szCs w:val="20"/>
              </w:rPr>
              <w:t>-</w:t>
            </w:r>
            <w:r w:rsidRPr="00FF07A1">
              <w:rPr>
                <w:color w:val="000000"/>
                <w:sz w:val="20"/>
                <w:szCs w:val="20"/>
              </w:rPr>
              <w:t>ствен</w:t>
            </w:r>
            <w:r w:rsidR="00591AC2">
              <w:rPr>
                <w:color w:val="000000"/>
                <w:sz w:val="20"/>
                <w:szCs w:val="20"/>
              </w:rPr>
              <w:t>-</w:t>
            </w:r>
            <w:r w:rsidRPr="00FF07A1">
              <w:rPr>
                <w:color w:val="000000"/>
                <w:sz w:val="20"/>
                <w:szCs w:val="20"/>
              </w:rPr>
              <w:t>ные инвести</w:t>
            </w:r>
            <w:r>
              <w:rPr>
                <w:color w:val="000000"/>
                <w:sz w:val="20"/>
                <w:szCs w:val="20"/>
              </w:rPr>
              <w:t>-</w:t>
            </w:r>
            <w:r w:rsidRPr="00FF07A1">
              <w:rPr>
                <w:color w:val="000000"/>
                <w:sz w:val="20"/>
                <w:szCs w:val="20"/>
              </w:rPr>
              <w:t>ции в ОК</w:t>
            </w:r>
          </w:p>
        </w:tc>
        <w:tc>
          <w:tcPr>
            <w:tcW w:w="1110"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Инвести</w:t>
            </w:r>
            <w:r>
              <w:rPr>
                <w:color w:val="000000"/>
                <w:sz w:val="20"/>
                <w:szCs w:val="20"/>
              </w:rPr>
              <w:t>-</w:t>
            </w:r>
            <w:r w:rsidRPr="00FF07A1">
              <w:rPr>
                <w:color w:val="000000"/>
                <w:sz w:val="20"/>
                <w:szCs w:val="20"/>
              </w:rPr>
              <w:t>ц</w:t>
            </w:r>
            <w:r>
              <w:rPr>
                <w:color w:val="000000"/>
                <w:sz w:val="20"/>
                <w:szCs w:val="20"/>
              </w:rPr>
              <w:t>и</w:t>
            </w:r>
            <w:r w:rsidRPr="00FF07A1">
              <w:rPr>
                <w:color w:val="000000"/>
                <w:sz w:val="20"/>
                <w:szCs w:val="20"/>
              </w:rPr>
              <w:t>и в ОК в промы</w:t>
            </w:r>
            <w:r>
              <w:rPr>
                <w:color w:val="000000"/>
                <w:sz w:val="20"/>
                <w:szCs w:val="20"/>
              </w:rPr>
              <w:t>-</w:t>
            </w:r>
            <w:r w:rsidRPr="00FF07A1">
              <w:rPr>
                <w:color w:val="000000"/>
                <w:sz w:val="20"/>
                <w:szCs w:val="20"/>
              </w:rPr>
              <w:t>шлен</w:t>
            </w:r>
            <w:r>
              <w:rPr>
                <w:color w:val="000000"/>
                <w:sz w:val="20"/>
                <w:szCs w:val="20"/>
              </w:rPr>
              <w:t>-</w:t>
            </w:r>
            <w:r w:rsidRPr="00FF07A1">
              <w:rPr>
                <w:color w:val="000000"/>
                <w:sz w:val="20"/>
                <w:szCs w:val="20"/>
              </w:rPr>
              <w:t>ности</w:t>
            </w:r>
          </w:p>
        </w:tc>
        <w:tc>
          <w:tcPr>
            <w:tcW w:w="949" w:type="dxa"/>
            <w:tcBorders>
              <w:top w:val="single" w:sz="4" w:space="0" w:color="auto"/>
              <w:left w:val="nil"/>
              <w:bottom w:val="single" w:sz="4" w:space="0" w:color="auto"/>
              <w:right w:val="single" w:sz="4" w:space="0" w:color="auto"/>
            </w:tcBorders>
            <w:shd w:val="clear" w:color="auto" w:fill="auto"/>
            <w:hideMark/>
          </w:tcPr>
          <w:p w:rsidR="00756F94" w:rsidRPr="00FF07A1" w:rsidRDefault="00756F94" w:rsidP="00D555F6">
            <w:pPr>
              <w:jc w:val="center"/>
              <w:rPr>
                <w:color w:val="000000"/>
                <w:sz w:val="20"/>
                <w:szCs w:val="20"/>
              </w:rPr>
            </w:pPr>
            <w:r w:rsidRPr="00FF07A1">
              <w:rPr>
                <w:color w:val="000000"/>
                <w:sz w:val="20"/>
                <w:szCs w:val="20"/>
              </w:rPr>
              <w:t>Инве</w:t>
            </w:r>
            <w:r w:rsidR="00591AC2">
              <w:rPr>
                <w:color w:val="000000"/>
                <w:sz w:val="20"/>
                <w:szCs w:val="20"/>
              </w:rPr>
              <w:t>-</w:t>
            </w:r>
            <w:r w:rsidRPr="00FF07A1">
              <w:rPr>
                <w:color w:val="000000"/>
                <w:sz w:val="20"/>
                <w:szCs w:val="20"/>
              </w:rPr>
              <w:t>стиции в ОК в сель</w:t>
            </w:r>
            <w:r w:rsidR="00591AC2">
              <w:rPr>
                <w:color w:val="000000"/>
                <w:sz w:val="20"/>
                <w:szCs w:val="20"/>
              </w:rPr>
              <w:t>-</w:t>
            </w:r>
            <w:r w:rsidRPr="00FF07A1">
              <w:rPr>
                <w:color w:val="000000"/>
                <w:sz w:val="20"/>
                <w:szCs w:val="20"/>
              </w:rPr>
              <w:t>ском хозяй</w:t>
            </w:r>
            <w:r w:rsidR="00591AC2">
              <w:rPr>
                <w:color w:val="000000"/>
                <w:sz w:val="20"/>
                <w:szCs w:val="20"/>
              </w:rPr>
              <w:t>-</w:t>
            </w:r>
            <w:r w:rsidRPr="00FF07A1">
              <w:rPr>
                <w:color w:val="000000"/>
                <w:sz w:val="20"/>
                <w:szCs w:val="20"/>
              </w:rPr>
              <w:t>стве</w:t>
            </w:r>
          </w:p>
        </w:tc>
      </w:tr>
      <w:tr w:rsidR="00E021A0" w:rsidRPr="00FF07A1" w:rsidTr="00E021A0">
        <w:trPr>
          <w:trHeight w:val="300"/>
        </w:trPr>
        <w:tc>
          <w:tcPr>
            <w:tcW w:w="2418" w:type="dxa"/>
            <w:tcBorders>
              <w:top w:val="nil"/>
              <w:left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Город Ташкент</w:t>
            </w:r>
          </w:p>
        </w:tc>
        <w:tc>
          <w:tcPr>
            <w:tcW w:w="1021"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346,9</w:t>
            </w:r>
          </w:p>
        </w:tc>
        <w:tc>
          <w:tcPr>
            <w:tcW w:w="1154"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134,4</w:t>
            </w:r>
          </w:p>
        </w:tc>
        <w:tc>
          <w:tcPr>
            <w:tcW w:w="1085"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140,9</w:t>
            </w:r>
          </w:p>
        </w:tc>
        <w:tc>
          <w:tcPr>
            <w:tcW w:w="1017"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27,8</w:t>
            </w:r>
          </w:p>
        </w:tc>
        <w:tc>
          <w:tcPr>
            <w:tcW w:w="992"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43,8</w:t>
            </w:r>
          </w:p>
        </w:tc>
        <w:tc>
          <w:tcPr>
            <w:tcW w:w="1110"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86,9</w:t>
            </w:r>
          </w:p>
        </w:tc>
        <w:tc>
          <w:tcPr>
            <w:tcW w:w="949"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1,1</w:t>
            </w:r>
          </w:p>
        </w:tc>
      </w:tr>
      <w:tr w:rsidR="00E021A0" w:rsidRPr="00FF07A1" w:rsidTr="00E021A0">
        <w:trPr>
          <w:trHeight w:val="300"/>
        </w:trPr>
        <w:tc>
          <w:tcPr>
            <w:tcW w:w="9746" w:type="dxa"/>
            <w:gridSpan w:val="8"/>
            <w:tcBorders>
              <w:top w:val="nil"/>
              <w:left w:val="single" w:sz="4" w:space="0" w:color="auto"/>
              <w:bottom w:val="single" w:sz="4" w:space="0" w:color="auto"/>
              <w:right w:val="single" w:sz="4" w:space="0" w:color="auto"/>
            </w:tcBorders>
            <w:shd w:val="clear" w:color="auto" w:fill="92D050"/>
            <w:noWrap/>
            <w:vAlign w:val="bottom"/>
            <w:hideMark/>
          </w:tcPr>
          <w:p w:rsidR="00E021A0" w:rsidRPr="00E021A0" w:rsidRDefault="00E021A0" w:rsidP="00E021A0">
            <w:pPr>
              <w:rPr>
                <w:b/>
                <w:color w:val="000000"/>
                <w:sz w:val="20"/>
                <w:szCs w:val="20"/>
              </w:rPr>
            </w:pPr>
            <w:r w:rsidRPr="00E021A0">
              <w:rPr>
                <w:b/>
                <w:color w:val="000000"/>
                <w:sz w:val="18"/>
                <w:szCs w:val="18"/>
              </w:rPr>
              <w:t>Регионы с высоким уровнем ЭИЧР </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Навоийская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319,3</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243,5</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40,0</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31,0</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193,9</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6,3</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Ташкентская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145,5</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88,6</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25,6</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9,5</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21,8</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67,1</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5,5</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7B2FF8">
            <w:pPr>
              <w:rPr>
                <w:color w:val="000000"/>
                <w:sz w:val="20"/>
                <w:szCs w:val="20"/>
              </w:rPr>
            </w:pPr>
            <w:r w:rsidRPr="00FF07A1">
              <w:rPr>
                <w:color w:val="000000"/>
                <w:sz w:val="20"/>
                <w:szCs w:val="20"/>
              </w:rPr>
              <w:t>Андижанская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59,8</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35,4</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8,4</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11,2</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22,4</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3,4</w:t>
            </w:r>
          </w:p>
        </w:tc>
      </w:tr>
      <w:tr w:rsidR="00E021A0" w:rsidRPr="00FF07A1" w:rsidTr="00E021A0">
        <w:trPr>
          <w:trHeight w:val="300"/>
        </w:trPr>
        <w:tc>
          <w:tcPr>
            <w:tcW w:w="2418" w:type="dxa"/>
            <w:tcBorders>
              <w:top w:val="nil"/>
              <w:left w:val="single" w:sz="4" w:space="0" w:color="auto"/>
              <w:right w:val="single" w:sz="4" w:space="0" w:color="auto"/>
            </w:tcBorders>
            <w:shd w:val="clear" w:color="auto" w:fill="auto"/>
            <w:noWrap/>
            <w:vAlign w:val="bottom"/>
            <w:hideMark/>
          </w:tcPr>
          <w:p w:rsidR="00E021A0" w:rsidRPr="00FF07A1" w:rsidRDefault="00E021A0" w:rsidP="007B2FF8">
            <w:pPr>
              <w:rPr>
                <w:color w:val="000000"/>
                <w:sz w:val="20"/>
                <w:szCs w:val="20"/>
              </w:rPr>
            </w:pPr>
            <w:r w:rsidRPr="00FF07A1">
              <w:rPr>
                <w:color w:val="000000"/>
                <w:sz w:val="20"/>
                <w:szCs w:val="20"/>
              </w:rPr>
              <w:t>Бухарская область</w:t>
            </w:r>
          </w:p>
        </w:tc>
        <w:tc>
          <w:tcPr>
            <w:tcW w:w="1021"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245,6</w:t>
            </w:r>
          </w:p>
        </w:tc>
        <w:tc>
          <w:tcPr>
            <w:tcW w:w="1154"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127,2</w:t>
            </w:r>
          </w:p>
        </w:tc>
        <w:tc>
          <w:tcPr>
            <w:tcW w:w="1085"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94,4</w:t>
            </w:r>
          </w:p>
        </w:tc>
        <w:tc>
          <w:tcPr>
            <w:tcW w:w="1017"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4,8</w:t>
            </w:r>
          </w:p>
        </w:tc>
        <w:tc>
          <w:tcPr>
            <w:tcW w:w="992"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19,3</w:t>
            </w:r>
          </w:p>
        </w:tc>
        <w:tc>
          <w:tcPr>
            <w:tcW w:w="1110"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98,1</w:t>
            </w:r>
          </w:p>
        </w:tc>
        <w:tc>
          <w:tcPr>
            <w:tcW w:w="949" w:type="dxa"/>
            <w:tcBorders>
              <w:top w:val="nil"/>
              <w:left w:val="nil"/>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6,4</w:t>
            </w:r>
          </w:p>
        </w:tc>
      </w:tr>
      <w:tr w:rsidR="00E021A0" w:rsidRPr="00FF07A1" w:rsidTr="00E021A0">
        <w:trPr>
          <w:trHeight w:val="300"/>
        </w:trPr>
        <w:tc>
          <w:tcPr>
            <w:tcW w:w="9746" w:type="dxa"/>
            <w:gridSpan w:val="8"/>
            <w:tcBorders>
              <w:top w:val="nil"/>
              <w:left w:val="single" w:sz="4" w:space="0" w:color="auto"/>
              <w:bottom w:val="single" w:sz="4" w:space="0" w:color="auto"/>
              <w:right w:val="single" w:sz="4" w:space="0" w:color="auto"/>
            </w:tcBorders>
            <w:shd w:val="clear" w:color="auto" w:fill="92D050"/>
            <w:noWrap/>
            <w:vAlign w:val="bottom"/>
            <w:hideMark/>
          </w:tcPr>
          <w:p w:rsidR="00E021A0" w:rsidRPr="00E021A0" w:rsidRDefault="00E021A0" w:rsidP="00E021A0">
            <w:pPr>
              <w:rPr>
                <w:b/>
                <w:color w:val="000000"/>
                <w:sz w:val="20"/>
                <w:szCs w:val="20"/>
              </w:rPr>
            </w:pPr>
            <w:r w:rsidRPr="00E021A0">
              <w:rPr>
                <w:b/>
                <w:color w:val="000000"/>
                <w:sz w:val="18"/>
                <w:szCs w:val="18"/>
              </w:rPr>
              <w:t>Регионы со средним уровнем ЭИЧР </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Ферганская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62,9</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35,2</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9,5</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13,8</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16,9</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3,0</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Хорезмская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70,9</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37,3</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13,4</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2,7</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17,5</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9,8</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4,2</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Самаркандская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71,8</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39,0</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9,4</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4,7</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18,7</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15,2</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3,3</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Наманганская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66,0</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33,3</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8,1</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21,0</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11,9</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10,8</w:t>
            </w:r>
          </w:p>
        </w:tc>
      </w:tr>
      <w:tr w:rsidR="00E021A0" w:rsidRPr="00FF07A1" w:rsidTr="00E021A0">
        <w:trPr>
          <w:trHeight w:val="300"/>
        </w:trPr>
        <w:tc>
          <w:tcPr>
            <w:tcW w:w="2418" w:type="dxa"/>
            <w:tcBorders>
              <w:top w:val="nil"/>
              <w:left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Сурхандарьинская обл</w:t>
            </w:r>
            <w:r>
              <w:rPr>
                <w:color w:val="000000"/>
                <w:sz w:val="20"/>
                <w:szCs w:val="20"/>
              </w:rPr>
              <w:t>.</w:t>
            </w:r>
          </w:p>
        </w:tc>
        <w:tc>
          <w:tcPr>
            <w:tcW w:w="1021"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93,4</w:t>
            </w:r>
          </w:p>
        </w:tc>
        <w:tc>
          <w:tcPr>
            <w:tcW w:w="1154"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56,3</w:t>
            </w:r>
          </w:p>
        </w:tc>
        <w:tc>
          <w:tcPr>
            <w:tcW w:w="1085"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12,3</w:t>
            </w:r>
          </w:p>
        </w:tc>
        <w:tc>
          <w:tcPr>
            <w:tcW w:w="1017"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2,9</w:t>
            </w:r>
          </w:p>
        </w:tc>
        <w:tc>
          <w:tcPr>
            <w:tcW w:w="992"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21,8</w:t>
            </w:r>
          </w:p>
        </w:tc>
        <w:tc>
          <w:tcPr>
            <w:tcW w:w="1110"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12,4</w:t>
            </w:r>
          </w:p>
        </w:tc>
        <w:tc>
          <w:tcPr>
            <w:tcW w:w="949" w:type="dxa"/>
            <w:tcBorders>
              <w:top w:val="nil"/>
              <w:left w:val="nil"/>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8,5</w:t>
            </w:r>
          </w:p>
        </w:tc>
      </w:tr>
      <w:tr w:rsidR="00E021A0" w:rsidRPr="00FF07A1" w:rsidTr="00E021A0">
        <w:trPr>
          <w:trHeight w:val="300"/>
        </w:trPr>
        <w:tc>
          <w:tcPr>
            <w:tcW w:w="9746" w:type="dxa"/>
            <w:gridSpan w:val="8"/>
            <w:tcBorders>
              <w:top w:val="nil"/>
              <w:left w:val="single" w:sz="4" w:space="0" w:color="auto"/>
              <w:bottom w:val="single" w:sz="4" w:space="0" w:color="auto"/>
              <w:right w:val="single" w:sz="4" w:space="0" w:color="auto"/>
            </w:tcBorders>
            <w:shd w:val="clear" w:color="auto" w:fill="92D050"/>
            <w:noWrap/>
            <w:vAlign w:val="bottom"/>
            <w:hideMark/>
          </w:tcPr>
          <w:p w:rsidR="00E021A0" w:rsidRPr="00E021A0" w:rsidRDefault="00E021A0" w:rsidP="00E021A0">
            <w:pPr>
              <w:rPr>
                <w:b/>
                <w:color w:val="000000"/>
                <w:sz w:val="20"/>
                <w:szCs w:val="20"/>
              </w:rPr>
            </w:pPr>
            <w:r w:rsidRPr="00E021A0">
              <w:rPr>
                <w:b/>
                <w:color w:val="000000"/>
                <w:sz w:val="18"/>
                <w:szCs w:val="18"/>
              </w:rPr>
              <w:t>Регионы с низким уровнем ЭИЧР </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Сырдарьинская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106,4</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41,3</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16,6</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38,5</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19,6</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14,9</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Pr>
                <w:color w:val="000000"/>
                <w:sz w:val="20"/>
                <w:szCs w:val="20"/>
              </w:rPr>
              <w:t>Кашкадарьинская обл.</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257,8</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159,1</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72,3</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24,4</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142,2</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2,3</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E021A0">
            <w:pPr>
              <w:rPr>
                <w:color w:val="000000"/>
                <w:sz w:val="20"/>
                <w:szCs w:val="20"/>
              </w:rPr>
            </w:pPr>
            <w:r w:rsidRPr="00FF07A1">
              <w:rPr>
                <w:color w:val="000000"/>
                <w:sz w:val="20"/>
                <w:szCs w:val="20"/>
              </w:rPr>
              <w:t>Джизакская область</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82,7</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39,7</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11,6</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26,7</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10,9</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E021A0">
            <w:pPr>
              <w:jc w:val="center"/>
              <w:rPr>
                <w:color w:val="000000"/>
                <w:sz w:val="20"/>
                <w:szCs w:val="20"/>
              </w:rPr>
            </w:pPr>
            <w:r w:rsidRPr="00FF07A1">
              <w:rPr>
                <w:color w:val="000000"/>
                <w:sz w:val="20"/>
                <w:szCs w:val="20"/>
              </w:rPr>
              <w:t>8,6</w:t>
            </w:r>
          </w:p>
        </w:tc>
      </w:tr>
      <w:tr w:rsidR="00E021A0" w:rsidRPr="00FF07A1" w:rsidTr="00E021A0">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021A0" w:rsidRPr="00FF07A1" w:rsidRDefault="00E021A0" w:rsidP="007B2FF8">
            <w:pPr>
              <w:rPr>
                <w:color w:val="000000"/>
                <w:sz w:val="20"/>
                <w:szCs w:val="20"/>
              </w:rPr>
            </w:pPr>
            <w:r>
              <w:rPr>
                <w:color w:val="000000"/>
                <w:sz w:val="20"/>
                <w:szCs w:val="20"/>
              </w:rPr>
              <w:t>Респ.</w:t>
            </w:r>
            <w:r w:rsidRPr="00FF07A1">
              <w:rPr>
                <w:color w:val="000000"/>
                <w:sz w:val="20"/>
                <w:szCs w:val="20"/>
              </w:rPr>
              <w:t xml:space="preserve"> Каракалпакстан</w:t>
            </w:r>
          </w:p>
        </w:tc>
        <w:tc>
          <w:tcPr>
            <w:tcW w:w="1021"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186,0</w:t>
            </w:r>
          </w:p>
        </w:tc>
        <w:tc>
          <w:tcPr>
            <w:tcW w:w="1154"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130,7</w:t>
            </w:r>
          </w:p>
        </w:tc>
        <w:tc>
          <w:tcPr>
            <w:tcW w:w="1085"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23,6</w:t>
            </w:r>
          </w:p>
        </w:tc>
        <w:tc>
          <w:tcPr>
            <w:tcW w:w="1017"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27,5</w:t>
            </w:r>
          </w:p>
        </w:tc>
        <w:tc>
          <w:tcPr>
            <w:tcW w:w="1110"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27,3</w:t>
            </w:r>
          </w:p>
        </w:tc>
        <w:tc>
          <w:tcPr>
            <w:tcW w:w="949" w:type="dxa"/>
            <w:tcBorders>
              <w:top w:val="nil"/>
              <w:left w:val="nil"/>
              <w:bottom w:val="single" w:sz="4" w:space="0" w:color="auto"/>
              <w:right w:val="single" w:sz="4" w:space="0" w:color="auto"/>
            </w:tcBorders>
            <w:shd w:val="clear" w:color="auto" w:fill="auto"/>
            <w:noWrap/>
            <w:vAlign w:val="bottom"/>
            <w:hideMark/>
          </w:tcPr>
          <w:p w:rsidR="00E021A0" w:rsidRPr="00FF07A1" w:rsidRDefault="00E021A0" w:rsidP="007B2FF8">
            <w:pPr>
              <w:jc w:val="center"/>
              <w:rPr>
                <w:color w:val="000000"/>
                <w:sz w:val="20"/>
                <w:szCs w:val="20"/>
              </w:rPr>
            </w:pPr>
            <w:r w:rsidRPr="00FF07A1">
              <w:rPr>
                <w:color w:val="000000"/>
                <w:sz w:val="20"/>
                <w:szCs w:val="20"/>
              </w:rPr>
              <w:t>9,1</w:t>
            </w:r>
          </w:p>
        </w:tc>
      </w:tr>
    </w:tbl>
    <w:p w:rsidR="00756F94" w:rsidRDefault="00756F94" w:rsidP="00756F94">
      <w:pPr>
        <w:spacing w:before="120"/>
        <w:jc w:val="both"/>
        <w:rPr>
          <w:b/>
        </w:rPr>
      </w:pPr>
      <w:r>
        <w:rPr>
          <w:b/>
        </w:rPr>
        <w:t>Рисунок</w:t>
      </w:r>
      <w:r w:rsidRPr="00FF07A1">
        <w:rPr>
          <w:b/>
        </w:rPr>
        <w:t xml:space="preserve"> </w:t>
      </w:r>
      <w:r w:rsidR="001E543F">
        <w:rPr>
          <w:b/>
        </w:rPr>
        <w:t>2</w:t>
      </w:r>
      <w:r w:rsidRPr="00FF07A1">
        <w:rPr>
          <w:b/>
        </w:rPr>
        <w:t>.</w:t>
      </w:r>
      <w:r w:rsidR="00DF77D5">
        <w:rPr>
          <w:b/>
        </w:rPr>
        <w:t>17.</w:t>
      </w:r>
      <w:r w:rsidRPr="00FF07A1">
        <w:rPr>
          <w:b/>
        </w:rPr>
        <w:t xml:space="preserve"> Инвестиции в основной капитал на 1 чел</w:t>
      </w:r>
      <w:r>
        <w:rPr>
          <w:b/>
        </w:rPr>
        <w:t xml:space="preserve"> по видам инвестиций</w:t>
      </w:r>
      <w:r w:rsidRPr="00FF07A1">
        <w:rPr>
          <w:b/>
        </w:rPr>
        <w:t xml:space="preserve">, </w:t>
      </w:r>
      <w:r>
        <w:rPr>
          <w:b/>
        </w:rPr>
        <w:t xml:space="preserve">средние значения за 2004-2008 гг., </w:t>
      </w:r>
      <w:r w:rsidRPr="00FF07A1">
        <w:rPr>
          <w:b/>
        </w:rPr>
        <w:t xml:space="preserve">в тыс. </w:t>
      </w:r>
      <w:r>
        <w:rPr>
          <w:b/>
        </w:rPr>
        <w:t>сумм (в ценах 2005 г.)</w:t>
      </w:r>
    </w:p>
    <w:p w:rsidR="00756F94" w:rsidRDefault="00136C24" w:rsidP="00756F94">
      <w:pPr>
        <w:spacing w:before="120"/>
        <w:jc w:val="center"/>
      </w:pPr>
      <w:r w:rsidRPr="00136C24">
        <w:rPr>
          <w:noProof/>
        </w:rPr>
        <w:drawing>
          <wp:inline distT="0" distB="0" distL="0" distR="0">
            <wp:extent cx="4572000" cy="2905125"/>
            <wp:effectExtent l="19050" t="0" r="19050" b="0"/>
            <wp:docPr id="4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31C7" w:rsidRDefault="00E531C7" w:rsidP="00E531C7">
      <w:pPr>
        <w:spacing w:before="120"/>
        <w:jc w:val="both"/>
      </w:pPr>
      <w:r>
        <w:t xml:space="preserve">Во-вторых, объемы инвестиций напрямую зависят от </w:t>
      </w:r>
      <w:r w:rsidRPr="00F80C95">
        <w:rPr>
          <w:b/>
          <w:i/>
        </w:rPr>
        <w:t>инвестиционного климата</w:t>
      </w:r>
      <w:r>
        <w:rPr>
          <w:b/>
        </w:rPr>
        <w:t xml:space="preserve"> </w:t>
      </w:r>
      <w:r w:rsidRPr="00F05BD4">
        <w:t>(</w:t>
      </w:r>
      <w:r>
        <w:t xml:space="preserve">совокупности факторов, влияющих на инвестиционную и производственную активность частного сектора), который различается по регионам. Чем привлекательней с </w:t>
      </w:r>
      <w:r>
        <w:lastRenderedPageBreak/>
        <w:t xml:space="preserve">инвестиционной точки зрения регион, чем больше доходов может получить там инвестор, тем больше </w:t>
      </w:r>
      <w:r w:rsidR="009F60EF">
        <w:t xml:space="preserve">частных </w:t>
      </w:r>
      <w:r>
        <w:t>инвестиций. Между тем доходность на вложенный капитал по регионам с разным уровнем ЭИЧР существенно различается</w:t>
      </w:r>
      <w:r w:rsidR="009F60EF">
        <w:t xml:space="preserve"> (см.</w:t>
      </w:r>
      <w:r>
        <w:t xml:space="preserve"> </w:t>
      </w:r>
      <w:r w:rsidRPr="001E543F">
        <w:rPr>
          <w:highlight w:val="yellow"/>
        </w:rPr>
        <w:t>Рисун</w:t>
      </w:r>
      <w:r w:rsidR="009F60EF">
        <w:rPr>
          <w:highlight w:val="yellow"/>
        </w:rPr>
        <w:t>о</w:t>
      </w:r>
      <w:r w:rsidRPr="001E543F">
        <w:rPr>
          <w:highlight w:val="yellow"/>
        </w:rPr>
        <w:t xml:space="preserve">к </w:t>
      </w:r>
      <w:r w:rsidR="00DF77D5">
        <w:rPr>
          <w:highlight w:val="yellow"/>
        </w:rPr>
        <w:t>2.19</w:t>
      </w:r>
      <w:r w:rsidR="009F60EF">
        <w:t>): в регионах с высоким уровнем ЭИЧР, как правило, инвестор может получить больше прибыли, чем в регионах со средним и низким уровнем ЭИЧР.</w:t>
      </w:r>
    </w:p>
    <w:p w:rsidR="00756F94" w:rsidRPr="00FF07A1" w:rsidRDefault="00756F94" w:rsidP="00756F94">
      <w:pPr>
        <w:spacing w:before="120"/>
        <w:jc w:val="both"/>
        <w:rPr>
          <w:b/>
        </w:rPr>
      </w:pPr>
      <w:r>
        <w:rPr>
          <w:b/>
        </w:rPr>
        <w:t>Рисунок</w:t>
      </w:r>
      <w:r w:rsidR="00DF77D5">
        <w:rPr>
          <w:b/>
        </w:rPr>
        <w:t xml:space="preserve"> 2</w:t>
      </w:r>
      <w:r w:rsidRPr="00FF07A1">
        <w:rPr>
          <w:b/>
        </w:rPr>
        <w:t>.</w:t>
      </w:r>
      <w:r w:rsidR="00DF77D5">
        <w:rPr>
          <w:b/>
        </w:rPr>
        <w:t>18.</w:t>
      </w:r>
      <w:r w:rsidRPr="00FF07A1">
        <w:rPr>
          <w:b/>
        </w:rPr>
        <w:t xml:space="preserve"> Инвестиции в основной капитал </w:t>
      </w:r>
      <w:r>
        <w:rPr>
          <w:b/>
        </w:rPr>
        <w:t xml:space="preserve">в промышленности и сельском хозяйстве </w:t>
      </w:r>
      <w:r w:rsidRPr="00FF07A1">
        <w:rPr>
          <w:b/>
        </w:rPr>
        <w:t xml:space="preserve">на 1 чел, </w:t>
      </w:r>
      <w:r>
        <w:rPr>
          <w:b/>
        </w:rPr>
        <w:t xml:space="preserve">средние значения за 2004-2008 гг., </w:t>
      </w:r>
      <w:r w:rsidRPr="00FF07A1">
        <w:rPr>
          <w:b/>
        </w:rPr>
        <w:t xml:space="preserve">в тыс. </w:t>
      </w:r>
      <w:r>
        <w:rPr>
          <w:b/>
        </w:rPr>
        <w:t>сумм (в ценах 2005 г.)</w:t>
      </w:r>
    </w:p>
    <w:p w:rsidR="00756F94" w:rsidRDefault="00136C24" w:rsidP="00756F94">
      <w:pPr>
        <w:spacing w:before="120"/>
        <w:jc w:val="center"/>
      </w:pPr>
      <w:r w:rsidRPr="00136C24">
        <w:rPr>
          <w:noProof/>
        </w:rPr>
        <w:drawing>
          <wp:inline distT="0" distB="0" distL="0" distR="0">
            <wp:extent cx="4610100" cy="2905125"/>
            <wp:effectExtent l="19050" t="0" r="19050" b="0"/>
            <wp:docPr id="4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543F" w:rsidRPr="00FF07A1" w:rsidRDefault="001E543F" w:rsidP="001E543F">
      <w:pPr>
        <w:spacing w:before="120"/>
        <w:jc w:val="both"/>
        <w:rPr>
          <w:b/>
        </w:rPr>
      </w:pPr>
      <w:r>
        <w:rPr>
          <w:b/>
        </w:rPr>
        <w:t>Рисунок</w:t>
      </w:r>
      <w:r w:rsidRPr="00FF07A1">
        <w:rPr>
          <w:b/>
        </w:rPr>
        <w:t xml:space="preserve"> </w:t>
      </w:r>
      <w:r w:rsidR="00DF77D5">
        <w:rPr>
          <w:b/>
        </w:rPr>
        <w:t>2</w:t>
      </w:r>
      <w:r w:rsidRPr="00FF07A1">
        <w:rPr>
          <w:b/>
        </w:rPr>
        <w:t>.</w:t>
      </w:r>
      <w:r w:rsidR="00DF77D5">
        <w:rPr>
          <w:b/>
        </w:rPr>
        <w:t>19.</w:t>
      </w:r>
      <w:r w:rsidRPr="00FF07A1">
        <w:rPr>
          <w:b/>
        </w:rPr>
        <w:t xml:space="preserve"> </w:t>
      </w:r>
      <w:r w:rsidRPr="001E543F">
        <w:rPr>
          <w:b/>
        </w:rPr>
        <w:t xml:space="preserve">Доля прибыли предприятий </w:t>
      </w:r>
      <w:r w:rsidR="007C7210">
        <w:rPr>
          <w:b/>
        </w:rPr>
        <w:t>(</w:t>
      </w:r>
      <w:r w:rsidRPr="001E543F">
        <w:rPr>
          <w:b/>
        </w:rPr>
        <w:t>до уплаты налога на доходы</w:t>
      </w:r>
      <w:r w:rsidR="007C7210">
        <w:rPr>
          <w:b/>
        </w:rPr>
        <w:t>)</w:t>
      </w:r>
      <w:r w:rsidRPr="001E543F">
        <w:rPr>
          <w:b/>
        </w:rPr>
        <w:t xml:space="preserve"> в ВРП</w:t>
      </w:r>
      <w:r w:rsidR="00291B46">
        <w:rPr>
          <w:b/>
        </w:rPr>
        <w:t xml:space="preserve"> -</w:t>
      </w:r>
      <w:r w:rsidRPr="001E543F">
        <w:rPr>
          <w:b/>
        </w:rPr>
        <w:t xml:space="preserve"> </w:t>
      </w:r>
      <w:r>
        <w:rPr>
          <w:b/>
        </w:rPr>
        <w:t>средние значения за 2004-2008 гг. (в ценах 2005 г.)</w:t>
      </w:r>
      <w:r w:rsidR="00291B46">
        <w:rPr>
          <w:b/>
        </w:rPr>
        <w:t xml:space="preserve">, </w:t>
      </w:r>
      <w:r w:rsidRPr="001E543F">
        <w:rPr>
          <w:b/>
        </w:rPr>
        <w:t>в %</w:t>
      </w:r>
      <w:r w:rsidR="00291B46">
        <w:rPr>
          <w:b/>
        </w:rPr>
        <w:t>.</w:t>
      </w:r>
    </w:p>
    <w:p w:rsidR="001827ED" w:rsidRDefault="00E20AEC" w:rsidP="001827ED">
      <w:pPr>
        <w:spacing w:before="120"/>
        <w:jc w:val="center"/>
      </w:pPr>
      <w:r w:rsidRPr="00E20AEC">
        <w:rPr>
          <w:noProof/>
        </w:rPr>
        <w:drawing>
          <wp:inline distT="0" distB="0" distL="0" distR="0">
            <wp:extent cx="4572000" cy="2743200"/>
            <wp:effectExtent l="19050" t="0" r="19050" b="0"/>
            <wp:docPr id="4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08BC" w:rsidRDefault="00B408BC" w:rsidP="00B408BC">
      <w:pPr>
        <w:spacing w:before="120"/>
        <w:jc w:val="both"/>
      </w:pPr>
      <w:r>
        <w:t>Состояние инвестиционного климата влияет не только на объемы инвестиций, но и на размеры и структуру занятости, что, как было показано выше</w:t>
      </w:r>
      <w:r w:rsidR="0049677E">
        <w:t xml:space="preserve"> (см. </w:t>
      </w:r>
      <w:r w:rsidR="00DF77D5">
        <w:rPr>
          <w:highlight w:val="yellow"/>
        </w:rPr>
        <w:t>р</w:t>
      </w:r>
      <w:r w:rsidR="0049677E" w:rsidRPr="0049677E">
        <w:rPr>
          <w:highlight w:val="yellow"/>
        </w:rPr>
        <w:t>азделы 2.1 и 2.2</w:t>
      </w:r>
      <w:r w:rsidR="0049677E">
        <w:t>)</w:t>
      </w:r>
      <w:r>
        <w:t xml:space="preserve">, напрямую </w:t>
      </w:r>
      <w:r w:rsidR="00F05BD4">
        <w:t>связанно с</w:t>
      </w:r>
      <w:r>
        <w:t xml:space="preserve"> уровн</w:t>
      </w:r>
      <w:r w:rsidR="00F05BD4">
        <w:t>ем</w:t>
      </w:r>
      <w:r>
        <w:t xml:space="preserve"> благосостояния жителе регионов. Дело в том, что в условиях рыночной экономики главный источник занятости и инвестиций в основной капитал – </w:t>
      </w:r>
      <w:r w:rsidRPr="000C2F6E">
        <w:rPr>
          <w:b/>
          <w:i/>
        </w:rPr>
        <w:t>частный предпринимательский сектор</w:t>
      </w:r>
      <w:r>
        <w:t xml:space="preserve">. Основная функция частного предпринимательства – в объединении факторов производства (природные ресурсы, физический капитал и рабочая сила) для создания товаров и услуг, пользующихся спросом. Таким образом, предприниматели а) инвестируют свои средства в основной </w:t>
      </w:r>
      <w:r>
        <w:lastRenderedPageBreak/>
        <w:t>капитал и создание рабочих мест, б) создают полезную для общества продукцию. Поэтому поощрение развития частного предпринимательства</w:t>
      </w:r>
      <w:r w:rsidR="00F05BD4">
        <w:t>, иными словами, создание благоприятного инвестиционного климата</w:t>
      </w:r>
      <w:r>
        <w:t xml:space="preserve"> – важнейшая задача центрального правительства и местных органов власти. </w:t>
      </w:r>
    </w:p>
    <w:tbl>
      <w:tblPr>
        <w:tblStyle w:val="af5"/>
        <w:tblW w:w="0" w:type="auto"/>
        <w:tblLook w:val="04A0"/>
      </w:tblPr>
      <w:tblGrid>
        <w:gridCol w:w="9571"/>
      </w:tblGrid>
      <w:tr w:rsidR="004017F0" w:rsidTr="004017F0">
        <w:tc>
          <w:tcPr>
            <w:tcW w:w="9571" w:type="dxa"/>
            <w:shd w:val="clear" w:color="auto" w:fill="D9D9D9" w:themeFill="background1" w:themeFillShade="D9"/>
          </w:tcPr>
          <w:p w:rsidR="004017F0" w:rsidRPr="004017F0" w:rsidRDefault="004017F0" w:rsidP="004017F0">
            <w:pPr>
              <w:spacing w:before="100" w:afterAutospacing="0"/>
              <w:rPr>
                <w:b/>
              </w:rPr>
            </w:pPr>
            <w:r w:rsidRPr="004017F0">
              <w:rPr>
                <w:b/>
              </w:rPr>
              <w:t>Женщины предприниматели</w:t>
            </w:r>
          </w:p>
          <w:p w:rsidR="004017F0" w:rsidRDefault="004017F0" w:rsidP="004017F0">
            <w:pPr>
              <w:spacing w:before="100" w:afterAutospacing="0"/>
              <w:jc w:val="both"/>
              <w:rPr>
                <w:b/>
                <w:highlight w:val="lightGray"/>
              </w:rPr>
            </w:pPr>
            <w:r w:rsidRPr="004017F0">
              <w:t>По данным Торгово-промышленной палаты Узбекистана, доля женщин среди предпринимателей на 1 января 2006 года составляла 23,1%</w:t>
            </w:r>
            <w:r w:rsidRPr="004017F0">
              <w:rPr>
                <w:rStyle w:val="a5"/>
              </w:rPr>
              <w:footnoteReference w:id="25"/>
            </w:r>
            <w:r w:rsidRPr="004017F0">
              <w:t>. Результаты опроса предпринимателей, проведенного в 2006 г., дали близкую цифру - 19,7%</w:t>
            </w:r>
            <w:r w:rsidRPr="004017F0">
              <w:rPr>
                <w:rStyle w:val="a5"/>
              </w:rPr>
              <w:footnoteReference w:id="26"/>
            </w:r>
            <w:r w:rsidRPr="004017F0">
              <w:t>. Согласно данных этого отчета больше всего доля женщин среди предпринимателей в Ташкенте (36,1%) и Республике Каракалпакстан (34%), меньше всего – в Джизакской (4,3%) и Андижанской (8%) областях. В городской среде женщины-предприниматели встречаются более чем в два раза чаще, чем в сельской (26,2% против 12,3%). Во всех без исключения отраслях экономики преобладают мужчины-предприниматели. Самые распространенные отрасли, предприятиями которых управляют женщины – это легкая промышленность, бизнес-услуги, общественное питание, финансы.</w:t>
            </w:r>
          </w:p>
        </w:tc>
      </w:tr>
    </w:tbl>
    <w:p w:rsidR="0018091F" w:rsidRPr="0018091F" w:rsidRDefault="0018091F" w:rsidP="0087264E">
      <w:pPr>
        <w:spacing w:before="120"/>
        <w:jc w:val="both"/>
      </w:pPr>
      <w:r w:rsidRPr="0018091F">
        <w:t>К</w:t>
      </w:r>
      <w:r w:rsidR="00C677DC" w:rsidRPr="0018091F">
        <w:t>ак показывают ранее проведенные исследования</w:t>
      </w:r>
      <w:r w:rsidRPr="0018091F">
        <w:rPr>
          <w:rStyle w:val="a5"/>
        </w:rPr>
        <w:footnoteReference w:id="27"/>
      </w:r>
      <w:r w:rsidRPr="0018091F">
        <w:t>,</w:t>
      </w:r>
      <w:r w:rsidR="00C677DC" w:rsidRPr="0018091F">
        <w:t xml:space="preserve"> </w:t>
      </w:r>
      <w:r w:rsidRPr="0018091F">
        <w:t>наиболее острыми для предпринимателей Узбекистана являются следующие проблемы:</w:t>
      </w:r>
    </w:p>
    <w:p w:rsidR="0018091F" w:rsidRDefault="0018091F" w:rsidP="0087264E">
      <w:pPr>
        <w:spacing w:before="120"/>
        <w:jc w:val="both"/>
      </w:pPr>
      <w:r w:rsidRPr="0018091F">
        <w:t xml:space="preserve">- </w:t>
      </w:r>
      <w:r w:rsidR="00306224">
        <w:t xml:space="preserve">относительно </w:t>
      </w:r>
      <w:r w:rsidRPr="0018091F">
        <w:t>высокие налоги и социальн</w:t>
      </w:r>
      <w:r>
        <w:t>ы</w:t>
      </w:r>
      <w:r w:rsidRPr="0018091F">
        <w:t>е отчисления (эт</w:t>
      </w:r>
      <w:r>
        <w:t>а</w:t>
      </w:r>
      <w:r w:rsidRPr="0018091F">
        <w:t xml:space="preserve"> проблем</w:t>
      </w:r>
      <w:r>
        <w:t xml:space="preserve">а была рассмотрена нами в </w:t>
      </w:r>
      <w:r w:rsidR="00DF77D5">
        <w:rPr>
          <w:highlight w:val="yellow"/>
        </w:rPr>
        <w:t>р</w:t>
      </w:r>
      <w:r w:rsidRPr="0018091F">
        <w:rPr>
          <w:highlight w:val="yellow"/>
        </w:rPr>
        <w:t>азделе 2.1</w:t>
      </w:r>
      <w:r>
        <w:t>);</w:t>
      </w:r>
    </w:p>
    <w:p w:rsidR="0018091F" w:rsidRDefault="0018091F" w:rsidP="0087264E">
      <w:pPr>
        <w:spacing w:before="120"/>
        <w:jc w:val="both"/>
      </w:pPr>
      <w:r w:rsidRPr="00720CF3">
        <w:t xml:space="preserve">- </w:t>
      </w:r>
      <w:r w:rsidR="00306224">
        <w:t xml:space="preserve">относительно </w:t>
      </w:r>
      <w:r w:rsidRPr="00720CF3">
        <w:t>высокие издержки работы с банками (боле подробно – см. ниже);</w:t>
      </w:r>
    </w:p>
    <w:p w:rsidR="008C70FE" w:rsidRDefault="0018091F" w:rsidP="008C70FE">
      <w:pPr>
        <w:spacing w:before="120"/>
        <w:jc w:val="both"/>
      </w:pPr>
      <w:r>
        <w:t>- сложности при осуществлении внешнеэкономической деятельности (н</w:t>
      </w:r>
      <w:r w:rsidR="008C70FE">
        <w:t>аиболее важные</w:t>
      </w:r>
      <w:r>
        <w:t xml:space="preserve"> проблемы при проведении экспортных операций были </w:t>
      </w:r>
      <w:r w:rsidR="00306224">
        <w:t>описаны</w:t>
      </w:r>
      <w:r>
        <w:t xml:space="preserve"> в </w:t>
      </w:r>
      <w:r w:rsidR="0088708F">
        <w:rPr>
          <w:highlight w:val="yellow"/>
        </w:rPr>
        <w:t>р</w:t>
      </w:r>
      <w:r w:rsidRPr="0018091F">
        <w:rPr>
          <w:highlight w:val="yellow"/>
        </w:rPr>
        <w:t>азделе 2.2</w:t>
      </w:r>
      <w:r>
        <w:t>);</w:t>
      </w:r>
    </w:p>
    <w:p w:rsidR="008C70FE" w:rsidRPr="008C70FE" w:rsidRDefault="008C70FE" w:rsidP="008C70FE">
      <w:pPr>
        <w:spacing w:before="120"/>
        <w:jc w:val="both"/>
        <w:rPr>
          <w:rFonts w:eastAsia="MS Mincho"/>
        </w:rPr>
      </w:pPr>
      <w:r w:rsidRPr="008C70FE">
        <w:rPr>
          <w:rFonts w:eastAsia="MS Mincho"/>
        </w:rPr>
        <w:t>- сложность и противоречивость законодательства, наличие чрезмерных ограничений на предпринимательскую деятельность, неожиданные и частые изменения в нормативной базе;</w:t>
      </w:r>
    </w:p>
    <w:p w:rsidR="008C70FE" w:rsidRPr="008C70FE" w:rsidRDefault="008C70FE" w:rsidP="008C70FE">
      <w:pPr>
        <w:spacing w:before="120"/>
        <w:jc w:val="both"/>
        <w:rPr>
          <w:rFonts w:eastAsia="MS Mincho"/>
        </w:rPr>
      </w:pPr>
      <w:r w:rsidRPr="008C70FE">
        <w:rPr>
          <w:rFonts w:eastAsia="MS Mincho"/>
        </w:rPr>
        <w:t xml:space="preserve">- недостаточная защищенность прав предпринимателей, недостаток информации для защиты интересов предпринимателей; </w:t>
      </w:r>
    </w:p>
    <w:p w:rsidR="008C70FE" w:rsidRPr="008C70FE" w:rsidRDefault="008C70FE" w:rsidP="008C70FE">
      <w:pPr>
        <w:spacing w:before="120"/>
        <w:jc w:val="both"/>
        <w:rPr>
          <w:rFonts w:eastAsia="MS Mincho"/>
        </w:rPr>
      </w:pPr>
      <w:r w:rsidRPr="008C70FE">
        <w:t xml:space="preserve">- </w:t>
      </w:r>
      <w:r w:rsidRPr="008C70FE">
        <w:rPr>
          <w:rFonts w:eastAsia="MS Mincho"/>
        </w:rPr>
        <w:t xml:space="preserve">сложные процедуры получения разрешений, лицензий, сертификатов, стандартов (некоторые аспекты этой проблемы мы рассмотрим в </w:t>
      </w:r>
      <w:r w:rsidR="0088708F">
        <w:rPr>
          <w:rFonts w:eastAsia="MS Mincho"/>
          <w:highlight w:val="yellow"/>
        </w:rPr>
        <w:t>р</w:t>
      </w:r>
      <w:r w:rsidRPr="008C70FE">
        <w:rPr>
          <w:rFonts w:eastAsia="MS Mincho"/>
          <w:highlight w:val="yellow"/>
        </w:rPr>
        <w:t>азделе 4.1</w:t>
      </w:r>
      <w:r w:rsidR="00AA038C">
        <w:rPr>
          <w:rFonts w:eastAsia="MS Mincho"/>
        </w:rPr>
        <w:t>).</w:t>
      </w:r>
    </w:p>
    <w:tbl>
      <w:tblPr>
        <w:tblStyle w:val="af5"/>
        <w:tblW w:w="0" w:type="auto"/>
        <w:tblLook w:val="04A0"/>
      </w:tblPr>
      <w:tblGrid>
        <w:gridCol w:w="9571"/>
      </w:tblGrid>
      <w:tr w:rsidR="004017F0" w:rsidTr="004017F0">
        <w:tc>
          <w:tcPr>
            <w:tcW w:w="9571" w:type="dxa"/>
            <w:shd w:val="clear" w:color="auto" w:fill="D9D9D9" w:themeFill="background1" w:themeFillShade="D9"/>
          </w:tcPr>
          <w:p w:rsidR="004017F0" w:rsidRPr="004017F0" w:rsidRDefault="004017F0" w:rsidP="004017F0">
            <w:pPr>
              <w:spacing w:before="100" w:afterAutospacing="0"/>
              <w:rPr>
                <w:b/>
              </w:rPr>
            </w:pPr>
            <w:r w:rsidRPr="004017F0">
              <w:rPr>
                <w:b/>
              </w:rPr>
              <w:t>«Невидимые» барьеры для женщин-предпринимателей</w:t>
            </w:r>
          </w:p>
          <w:p w:rsidR="004017F0" w:rsidRPr="004017F0" w:rsidRDefault="004017F0" w:rsidP="004017F0">
            <w:pPr>
              <w:spacing w:before="100" w:afterAutospacing="0"/>
              <w:jc w:val="both"/>
              <w:rPr>
                <w:color w:val="000000"/>
              </w:rPr>
            </w:pPr>
            <w:r w:rsidRPr="004017F0">
              <w:rPr>
                <w:rStyle w:val="af"/>
                <w:sz w:val="22"/>
                <w:szCs w:val="22"/>
              </w:rPr>
              <w:t xml:space="preserve">Хотя законодательства большинства стран провозглашают равные права </w:t>
            </w:r>
            <w:r w:rsidR="0088708F">
              <w:rPr>
                <w:rStyle w:val="af"/>
                <w:sz w:val="22"/>
                <w:szCs w:val="22"/>
              </w:rPr>
              <w:t xml:space="preserve">и возможности для </w:t>
            </w:r>
            <w:r w:rsidRPr="004017F0">
              <w:rPr>
                <w:rStyle w:val="af"/>
                <w:sz w:val="22"/>
                <w:szCs w:val="22"/>
              </w:rPr>
              <w:t xml:space="preserve">мужчин и женщин в предпринимательской деятельности, на деле женщины сталкиваются не только с трудностями, общими для предпринимателей при создании своего бизнеса, но и существенными </w:t>
            </w:r>
            <w:r w:rsidRPr="004017F0">
              <w:rPr>
                <w:rStyle w:val="af"/>
                <w:i/>
                <w:sz w:val="22"/>
                <w:szCs w:val="22"/>
              </w:rPr>
              <w:t>гендерно-специфическими препятствиями</w:t>
            </w:r>
            <w:r w:rsidRPr="004017F0">
              <w:rPr>
                <w:rStyle w:val="af"/>
                <w:sz w:val="22"/>
                <w:szCs w:val="22"/>
              </w:rPr>
              <w:t xml:space="preserve">, по сути глубоко укоренившейся дискриминационной практикой в отношении женщин. Например, как в развитых, так и развивающихся странах традиционные стереотипные представления о месте женщины в семье и обществе создают невидимый, но серьезно ощутимый барьер, мешая им утвердить себя в качестве самостоятельных, уверенных в себе и независимых деятельниц. Социально-культурные барьеры, </w:t>
            </w:r>
            <w:r w:rsidRPr="004017F0">
              <w:rPr>
                <w:rStyle w:val="af"/>
                <w:sz w:val="22"/>
                <w:szCs w:val="22"/>
              </w:rPr>
              <w:lastRenderedPageBreak/>
              <w:t xml:space="preserve">неравенство в области имущественных прав, включая права в отношении коммерческой собственности и наследования, неравный доступ к ресурсам (включая кредиты, информацию, знания, возможностью распоряжаться собственным временем) зачастую не позволяют женщинам воспользоваться на справедливой основе имеющимися экономическими возможностями. </w:t>
            </w:r>
          </w:p>
          <w:p w:rsidR="004017F0" w:rsidRDefault="004017F0" w:rsidP="004017F0">
            <w:pPr>
              <w:spacing w:before="100" w:afterAutospacing="0"/>
              <w:jc w:val="both"/>
              <w:rPr>
                <w:b/>
                <w:highlight w:val="lightGray"/>
              </w:rPr>
            </w:pPr>
            <w:r w:rsidRPr="004017F0">
              <w:t>Распределение семейных обязанностей, которое рассматривает только женщин как ответственных за сферу домашней работы, воспитания детей и ухода за больными и престарелыми также ставит женщин в невыгодные для конкуренции условия. В то же время, общественные предрассудки ставят им в вину отсутствие активной позиции, опыта и надлежащих знаний. В результате, деятельность женщин-предпринимателей концентрируется в сфере малого и даже микро-бизнеса, и чаще на вторых ролях, где им отводиться роль помощника, а не руководителя.</w:t>
            </w:r>
          </w:p>
        </w:tc>
      </w:tr>
    </w:tbl>
    <w:p w:rsidR="004017F0" w:rsidRDefault="004017F0" w:rsidP="004017F0">
      <w:pPr>
        <w:spacing w:before="120"/>
        <w:jc w:val="both"/>
        <w:rPr>
          <w:b/>
          <w:sz w:val="22"/>
          <w:szCs w:val="22"/>
          <w:highlight w:val="lightGray"/>
        </w:rPr>
      </w:pPr>
      <w:r w:rsidRPr="009A553B">
        <w:lastRenderedPageBreak/>
        <w:t>С точки зрения рассматриваемого в данном разделе предмета исследования – доступа к капиталу – наиболее важным</w:t>
      </w:r>
      <w:r>
        <w:t>и</w:t>
      </w:r>
      <w:r w:rsidRPr="009A553B">
        <w:t xml:space="preserve"> явля</w:t>
      </w:r>
      <w:r>
        <w:t>ю</w:t>
      </w:r>
      <w:r w:rsidRPr="009A553B">
        <w:t>тся вопрос</w:t>
      </w:r>
      <w:r>
        <w:t>ы</w:t>
      </w:r>
      <w:r w:rsidRPr="009A553B">
        <w:t xml:space="preserve"> доступа предпринимателей к финансовому капиталу и услугам финансового сектора</w:t>
      </w:r>
      <w:r>
        <w:t xml:space="preserve"> (одна из важнейших задач финансового сектора – стимулирование инвестиций в основной капитал), а также к инфраструктуре и коммунальным услугам</w:t>
      </w:r>
      <w:r w:rsidRPr="009A553B">
        <w:t xml:space="preserve">. Поэтому остановимся на </w:t>
      </w:r>
      <w:r>
        <w:t>данных аспектах инвестиционного климата</w:t>
      </w:r>
      <w:r w:rsidRPr="009A553B">
        <w:t xml:space="preserve"> подробнее.</w:t>
      </w:r>
    </w:p>
    <w:p w:rsidR="000C2F6E" w:rsidRDefault="009A553B" w:rsidP="0087264E">
      <w:pPr>
        <w:spacing w:before="120"/>
        <w:jc w:val="both"/>
      </w:pPr>
      <w:r>
        <w:rPr>
          <w:b/>
        </w:rPr>
        <w:t>Финансовые рынки</w:t>
      </w:r>
      <w:r w:rsidR="009D43DD">
        <w:t xml:space="preserve">. </w:t>
      </w:r>
      <w:r w:rsidR="0087264E">
        <w:t>Доступность капитала для осуществления предпринимательской деятельности очень силь</w:t>
      </w:r>
      <w:r w:rsidR="0087264E" w:rsidRPr="0087264E">
        <w:t xml:space="preserve">но зависит от </w:t>
      </w:r>
      <w:r w:rsidR="0087264E" w:rsidRPr="00A029F2">
        <w:rPr>
          <w:b/>
          <w:i/>
        </w:rPr>
        <w:t>доступности банковских кредитов</w:t>
      </w:r>
      <w:r w:rsidR="0087264E" w:rsidRPr="0087264E">
        <w:t xml:space="preserve">. Однако лишь </w:t>
      </w:r>
      <w:r w:rsidR="00F12E60">
        <w:t>очень небольшая</w:t>
      </w:r>
      <w:r w:rsidR="0087264E" w:rsidRPr="0087264E">
        <w:t xml:space="preserve"> часть </w:t>
      </w:r>
      <w:r w:rsidR="0087264E">
        <w:t>инвестиций в 2004-2008 гг. (4,3%) осуществлялась за счет кредитов коммерческих банков и других заемных средств. Цифра очень мала и свидетельствует о н</w:t>
      </w:r>
      <w:r>
        <w:t xml:space="preserve">изкой </w:t>
      </w:r>
      <w:r w:rsidR="0087264E">
        <w:t>эффективности системы банковского кредитования</w:t>
      </w:r>
      <w:r w:rsidR="0087264E" w:rsidRPr="004A6A25">
        <w:t xml:space="preserve">. </w:t>
      </w:r>
      <w:r w:rsidR="00C638EE" w:rsidRPr="004A6A25">
        <w:t>Для сравнения: доля инвестиций в основной капитал за счет заемных средств в 2</w:t>
      </w:r>
      <w:r w:rsidR="00C638EE">
        <w:t>008 году составила в Россия – 1</w:t>
      </w:r>
      <w:r w:rsidR="00C638EE" w:rsidRPr="006C19C9">
        <w:t>8</w:t>
      </w:r>
      <w:r w:rsidR="00C638EE" w:rsidRPr="004A6A25">
        <w:t>,</w:t>
      </w:r>
      <w:r w:rsidR="00C638EE" w:rsidRPr="006C19C9">
        <w:t>0</w:t>
      </w:r>
      <w:r w:rsidR="00C638EE" w:rsidRPr="004A6A25">
        <w:t>%</w:t>
      </w:r>
      <w:r w:rsidR="00C638EE">
        <w:rPr>
          <w:rStyle w:val="a5"/>
        </w:rPr>
        <w:footnoteReference w:id="28"/>
      </w:r>
      <w:r w:rsidR="00C638EE" w:rsidRPr="006C19C9">
        <w:t xml:space="preserve">, </w:t>
      </w:r>
      <w:r w:rsidR="00C638EE" w:rsidRPr="004A6A25">
        <w:t>Казахстане - 14,4%</w:t>
      </w:r>
      <w:r w:rsidR="00C638EE">
        <w:rPr>
          <w:rStyle w:val="a5"/>
        </w:rPr>
        <w:footnoteReference w:id="29"/>
      </w:r>
      <w:r w:rsidR="00C638EE" w:rsidRPr="004A6A25">
        <w:t>, Украине - 17,3%</w:t>
      </w:r>
      <w:r w:rsidR="00C638EE" w:rsidRPr="004A6A25">
        <w:rPr>
          <w:rStyle w:val="a5"/>
        </w:rPr>
        <w:footnoteReference w:id="30"/>
      </w:r>
      <w:r w:rsidR="00C638EE">
        <w:t>, а это страны далеко с не сам</w:t>
      </w:r>
      <w:r w:rsidR="00F12E60">
        <w:t>ыми</w:t>
      </w:r>
      <w:r w:rsidR="00C638EE">
        <w:t xml:space="preserve"> развит</w:t>
      </w:r>
      <w:r w:rsidR="00F12E60">
        <w:t>ыми</w:t>
      </w:r>
      <w:r w:rsidR="00C638EE">
        <w:t xml:space="preserve"> банковск</w:t>
      </w:r>
      <w:r w:rsidR="00F12E60">
        <w:t>ими</w:t>
      </w:r>
      <w:r w:rsidR="00C638EE">
        <w:t xml:space="preserve"> систем</w:t>
      </w:r>
      <w:r w:rsidR="00F12E60">
        <w:t>ами</w:t>
      </w:r>
      <w:r w:rsidR="00C638EE">
        <w:t xml:space="preserve"> в мире</w:t>
      </w:r>
      <w:r w:rsidR="00C638EE" w:rsidRPr="004A6A25">
        <w:t>.</w:t>
      </w:r>
      <w:r w:rsidR="0087264E" w:rsidRPr="004A6A25">
        <w:t xml:space="preserve"> </w:t>
      </w:r>
    </w:p>
    <w:p w:rsidR="0087264E" w:rsidRDefault="0087264E" w:rsidP="0087264E">
      <w:pPr>
        <w:spacing w:before="120"/>
        <w:jc w:val="both"/>
      </w:pPr>
      <w:r>
        <w:t xml:space="preserve">В тоже время имеются </w:t>
      </w:r>
      <w:r w:rsidR="000C2F6E">
        <w:t xml:space="preserve">определенные </w:t>
      </w:r>
      <w:r>
        <w:t>межрегиональные различия в доступе к кредитам: регионы с высоким ЭИЧР</w:t>
      </w:r>
      <w:r w:rsidR="000C2F6E">
        <w:t>, особенно Ташкент,</w:t>
      </w:r>
      <w:r>
        <w:t xml:space="preserve"> обладают большими возможностями осуществлять финансирование инвестиций за счет кредитов – см. </w:t>
      </w:r>
      <w:r w:rsidRPr="003D4D1D">
        <w:rPr>
          <w:highlight w:val="yellow"/>
        </w:rPr>
        <w:t>Рисунок</w:t>
      </w:r>
      <w:r w:rsidR="0088708F">
        <w:rPr>
          <w:highlight w:val="yellow"/>
        </w:rPr>
        <w:t xml:space="preserve"> 2.20</w:t>
      </w:r>
      <w:r w:rsidRPr="003D4D1D">
        <w:rPr>
          <w:highlight w:val="yellow"/>
        </w:rPr>
        <w:t>.</w:t>
      </w:r>
      <w:r>
        <w:t xml:space="preserve"> </w:t>
      </w:r>
    </w:p>
    <w:p w:rsidR="0087264E" w:rsidRDefault="0087264E" w:rsidP="0087264E">
      <w:pPr>
        <w:spacing w:before="120"/>
        <w:jc w:val="both"/>
      </w:pPr>
      <w:r>
        <w:rPr>
          <w:b/>
        </w:rPr>
        <w:t>Рисунок</w:t>
      </w:r>
      <w:r w:rsidRPr="00FF07A1">
        <w:rPr>
          <w:b/>
        </w:rPr>
        <w:t xml:space="preserve"> </w:t>
      </w:r>
      <w:r w:rsidR="0088708F">
        <w:rPr>
          <w:b/>
        </w:rPr>
        <w:t>2.20</w:t>
      </w:r>
      <w:r w:rsidRPr="00FF07A1">
        <w:rPr>
          <w:b/>
        </w:rPr>
        <w:t xml:space="preserve">. </w:t>
      </w:r>
      <w:r>
        <w:rPr>
          <w:b/>
        </w:rPr>
        <w:t>Доля и</w:t>
      </w:r>
      <w:r w:rsidRPr="00FF07A1">
        <w:rPr>
          <w:b/>
        </w:rPr>
        <w:t>нвестици</w:t>
      </w:r>
      <w:r>
        <w:rPr>
          <w:b/>
        </w:rPr>
        <w:t>й</w:t>
      </w:r>
      <w:r w:rsidRPr="00FF07A1">
        <w:rPr>
          <w:b/>
        </w:rPr>
        <w:t xml:space="preserve"> в основной капитал </w:t>
      </w:r>
      <w:r>
        <w:rPr>
          <w:b/>
        </w:rPr>
        <w:t>за счет средств кредитов и других займов в общем объеме инвестиций</w:t>
      </w:r>
      <w:r w:rsidRPr="00FF07A1">
        <w:rPr>
          <w:b/>
        </w:rPr>
        <w:t xml:space="preserve">, </w:t>
      </w:r>
      <w:r>
        <w:rPr>
          <w:b/>
        </w:rPr>
        <w:t>средние значения за 2004-2008 гг. (в ценах 2005 г.), в %.</w:t>
      </w:r>
    </w:p>
    <w:p w:rsidR="0087264E" w:rsidRDefault="00E01130" w:rsidP="0087264E">
      <w:pPr>
        <w:spacing w:before="120"/>
        <w:jc w:val="center"/>
        <w:rPr>
          <w:highlight w:val="yellow"/>
        </w:rPr>
      </w:pPr>
      <w:r w:rsidRPr="00E01130">
        <w:rPr>
          <w:noProof/>
        </w:rPr>
        <w:drawing>
          <wp:inline distT="0" distB="0" distL="0" distR="0">
            <wp:extent cx="4572000" cy="2743200"/>
            <wp:effectExtent l="19050" t="0" r="19050" b="0"/>
            <wp:docPr id="4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2F6E" w:rsidRDefault="000C2F6E" w:rsidP="000C2F6E">
      <w:pPr>
        <w:spacing w:before="120"/>
        <w:jc w:val="both"/>
      </w:pPr>
      <w:r>
        <w:lastRenderedPageBreak/>
        <w:t>Опрос производственных предприятий малого бизнеса, проведенный Международной финансовой корпорацией (МФК) в 2008 году</w:t>
      </w:r>
      <w:r>
        <w:rPr>
          <w:rStyle w:val="a5"/>
        </w:rPr>
        <w:footnoteReference w:id="31"/>
      </w:r>
      <w:r>
        <w:t xml:space="preserve"> показал, что у предприятий существуют большие потребности в области финансирования. Так ¾ используемого ими оборудования было произведено до 1995 года, следовательно, в большинстве случаев на нем весьма тяжело, а чаще всего невозможно производить конкурентоспособную продукцию. При этом и</w:t>
      </w:r>
      <w:r w:rsidRPr="00CA4F58">
        <w:t>нвестици</w:t>
      </w:r>
      <w:r>
        <w:t>и</w:t>
      </w:r>
      <w:r w:rsidRPr="00CA4F58">
        <w:t xml:space="preserve"> за счет кредитов осуществляло только около 20% предприятий. </w:t>
      </w:r>
    </w:p>
    <w:p w:rsidR="009A553B" w:rsidRDefault="0087264E" w:rsidP="0087264E">
      <w:pPr>
        <w:spacing w:before="120"/>
        <w:jc w:val="both"/>
      </w:pPr>
      <w:r>
        <w:t xml:space="preserve">С какими же проблемами сталкиваются бизнесмены при взаимодействии с банками? </w:t>
      </w:r>
      <w:r w:rsidR="00D65440">
        <w:t>Судя по опрос</w:t>
      </w:r>
      <w:r w:rsidR="009A553B">
        <w:t>ам предпринимателей это:</w:t>
      </w:r>
    </w:p>
    <w:p w:rsidR="009A553B" w:rsidRDefault="009A553B" w:rsidP="009A553B">
      <w:pPr>
        <w:spacing w:before="120"/>
        <w:jc w:val="both"/>
        <w:rPr>
          <w:szCs w:val="20"/>
        </w:rPr>
      </w:pPr>
      <w:r>
        <w:rPr>
          <w:szCs w:val="20"/>
        </w:rPr>
        <w:t xml:space="preserve">- бюрократизм, волокита, длительность осуществления банковских операций, низкий уровень обслуживания в банках; </w:t>
      </w:r>
    </w:p>
    <w:p w:rsidR="009A553B" w:rsidRDefault="00630E91" w:rsidP="009A553B">
      <w:pPr>
        <w:spacing w:before="120"/>
        <w:jc w:val="both"/>
        <w:rPr>
          <w:szCs w:val="20"/>
        </w:rPr>
      </w:pPr>
      <w:r>
        <w:rPr>
          <w:szCs w:val="20"/>
        </w:rPr>
        <w:t xml:space="preserve">- высокая стоимость обслуживания в банке, </w:t>
      </w:r>
      <w:r w:rsidR="009A553B">
        <w:t>с</w:t>
      </w:r>
      <w:r w:rsidR="009A553B">
        <w:rPr>
          <w:szCs w:val="20"/>
        </w:rPr>
        <w:t>л</w:t>
      </w:r>
      <w:r w:rsidR="0088708F">
        <w:rPr>
          <w:szCs w:val="20"/>
        </w:rPr>
        <w:t>ожности с получением долгосрочных кредитов</w:t>
      </w:r>
      <w:r>
        <w:rPr>
          <w:szCs w:val="20"/>
        </w:rPr>
        <w:t>,</w:t>
      </w:r>
      <w:r w:rsidR="009A553B">
        <w:rPr>
          <w:szCs w:val="20"/>
        </w:rPr>
        <w:t xml:space="preserve"> высокие штрафы за просрочку выплат по кредиту, либо в случае его пролонгации</w:t>
      </w:r>
      <w:r>
        <w:rPr>
          <w:szCs w:val="20"/>
        </w:rPr>
        <w:t>;</w:t>
      </w:r>
      <w:r w:rsidR="009A553B">
        <w:rPr>
          <w:szCs w:val="20"/>
        </w:rPr>
        <w:t xml:space="preserve"> </w:t>
      </w:r>
    </w:p>
    <w:p w:rsidR="009A553B" w:rsidRDefault="009A553B" w:rsidP="009A553B">
      <w:pPr>
        <w:spacing w:before="120"/>
        <w:jc w:val="both"/>
        <w:rPr>
          <w:szCs w:val="20"/>
        </w:rPr>
      </w:pPr>
      <w:r>
        <w:rPr>
          <w:szCs w:val="20"/>
        </w:rPr>
        <w:t xml:space="preserve">- </w:t>
      </w:r>
      <w:r w:rsidR="0087264E">
        <w:rPr>
          <w:szCs w:val="20"/>
        </w:rPr>
        <w:t xml:space="preserve">ограничения на свободное распоряжение деньгами на банковском счете, </w:t>
      </w:r>
      <w:r>
        <w:rPr>
          <w:szCs w:val="20"/>
        </w:rPr>
        <w:t>снятие денег со счета без разрешения владельца, банки раскрывают информацию о финансовой деятельности клиентов третьим сторонам</w:t>
      </w:r>
      <w:r w:rsidR="00630E91">
        <w:rPr>
          <w:szCs w:val="20"/>
        </w:rPr>
        <w:t>;</w:t>
      </w:r>
      <w:r>
        <w:rPr>
          <w:szCs w:val="20"/>
        </w:rPr>
        <w:t xml:space="preserve"> </w:t>
      </w:r>
    </w:p>
    <w:p w:rsidR="009A553B" w:rsidRDefault="009A553B" w:rsidP="0087264E">
      <w:pPr>
        <w:spacing w:before="120"/>
        <w:jc w:val="both"/>
        <w:rPr>
          <w:szCs w:val="20"/>
        </w:rPr>
      </w:pPr>
      <w:r>
        <w:t>- т</w:t>
      </w:r>
      <w:r>
        <w:rPr>
          <w:szCs w:val="20"/>
        </w:rPr>
        <w:t xml:space="preserve">рудности с получением наличности, </w:t>
      </w:r>
      <w:r w:rsidR="0087264E">
        <w:rPr>
          <w:szCs w:val="20"/>
        </w:rPr>
        <w:t>требования сдачи наличности в банк</w:t>
      </w:r>
      <w:r w:rsidR="00630E91">
        <w:rPr>
          <w:szCs w:val="20"/>
        </w:rPr>
        <w:t>.</w:t>
      </w:r>
      <w:r w:rsidR="0087264E">
        <w:rPr>
          <w:szCs w:val="20"/>
        </w:rPr>
        <w:t xml:space="preserve"> </w:t>
      </w:r>
    </w:p>
    <w:tbl>
      <w:tblPr>
        <w:tblStyle w:val="af5"/>
        <w:tblW w:w="0" w:type="auto"/>
        <w:shd w:val="clear" w:color="auto" w:fill="D9D9D9" w:themeFill="background1" w:themeFillShade="D9"/>
        <w:tblLook w:val="04A0"/>
      </w:tblPr>
      <w:tblGrid>
        <w:gridCol w:w="9571"/>
      </w:tblGrid>
      <w:tr w:rsidR="001E577D" w:rsidRPr="001E577D" w:rsidTr="001E577D">
        <w:tc>
          <w:tcPr>
            <w:tcW w:w="9571" w:type="dxa"/>
            <w:shd w:val="clear" w:color="auto" w:fill="D9D9D9" w:themeFill="background1" w:themeFillShade="D9"/>
          </w:tcPr>
          <w:p w:rsidR="001E577D" w:rsidRPr="001E577D" w:rsidRDefault="001E577D" w:rsidP="001E577D">
            <w:pPr>
              <w:spacing w:before="100" w:afterAutospacing="0"/>
              <w:jc w:val="both"/>
            </w:pPr>
            <w:r w:rsidRPr="001E577D">
              <w:t xml:space="preserve">«Очень сильна централизация управления в банковской сфере. Например, чтобы получить кредит в банке на сумму свыше 50 млн. сумм. необходимо согласовать проект с ташкентским офисом. А даже большинство минитехнологий стоят дороже. Раньше на согласование уходило как минимум 3 месяца. Сейчас сроки согласования сократили, но все равно на это уходит много времени». </w:t>
            </w:r>
          </w:p>
          <w:p w:rsidR="001E577D" w:rsidRPr="001E577D" w:rsidRDefault="001E577D" w:rsidP="001E577D">
            <w:pPr>
              <w:spacing w:before="100" w:afterAutospacing="0"/>
              <w:jc w:val="right"/>
              <w:rPr>
                <w:i/>
              </w:rPr>
            </w:pPr>
            <w:r w:rsidRPr="001E577D">
              <w:rPr>
                <w:i/>
              </w:rPr>
              <w:t>Из интервью с представителями Кашкадарьинской области, 2009 г.</w:t>
            </w:r>
          </w:p>
        </w:tc>
      </w:tr>
    </w:tbl>
    <w:p w:rsidR="001E577D" w:rsidRPr="001E577D" w:rsidRDefault="001E577D" w:rsidP="001E577D">
      <w:pPr>
        <w:spacing w:before="100"/>
        <w:jc w:val="both"/>
        <w:rPr>
          <w:sz w:val="10"/>
          <w:szCs w:val="10"/>
        </w:rPr>
      </w:pPr>
    </w:p>
    <w:tbl>
      <w:tblPr>
        <w:tblStyle w:val="af5"/>
        <w:tblW w:w="0" w:type="auto"/>
        <w:shd w:val="clear" w:color="auto" w:fill="D9D9D9" w:themeFill="background1" w:themeFillShade="D9"/>
        <w:tblLook w:val="04A0"/>
      </w:tblPr>
      <w:tblGrid>
        <w:gridCol w:w="9571"/>
      </w:tblGrid>
      <w:tr w:rsidR="001E577D" w:rsidRPr="001E577D" w:rsidTr="001E577D">
        <w:tc>
          <w:tcPr>
            <w:tcW w:w="9571" w:type="dxa"/>
            <w:shd w:val="clear" w:color="auto" w:fill="D9D9D9" w:themeFill="background1" w:themeFillShade="D9"/>
          </w:tcPr>
          <w:p w:rsidR="001E577D" w:rsidRPr="001E577D" w:rsidRDefault="001E577D" w:rsidP="001E577D">
            <w:pPr>
              <w:spacing w:before="100" w:afterAutospacing="0"/>
              <w:jc w:val="both"/>
            </w:pPr>
            <w:r w:rsidRPr="001E577D">
              <w:t>«Большая проблема – забюрократизированность многих процессов. Оборудование завозиться из-за рубежа. 3 месяца уходит на конвертацию, 2-3 месяца на прибытие. Итого до начала производства около полугода. Если сюда прибавить еще и ожидания по кредитам несколько месяцев, то требуется год от принятия решения до запуска производства».</w:t>
            </w:r>
          </w:p>
          <w:p w:rsidR="001E577D" w:rsidRPr="001E577D" w:rsidRDefault="001E577D" w:rsidP="001E577D">
            <w:pPr>
              <w:spacing w:before="100" w:afterAutospacing="0"/>
              <w:jc w:val="right"/>
              <w:rPr>
                <w:i/>
              </w:rPr>
            </w:pPr>
            <w:r w:rsidRPr="001E577D">
              <w:rPr>
                <w:i/>
              </w:rPr>
              <w:t>Из интервью с представителями Наманганской области, 2009 г.</w:t>
            </w:r>
          </w:p>
        </w:tc>
      </w:tr>
    </w:tbl>
    <w:p w:rsidR="001E577D" w:rsidRPr="001E577D" w:rsidRDefault="001E577D" w:rsidP="001E577D">
      <w:pPr>
        <w:spacing w:before="100"/>
        <w:jc w:val="both"/>
        <w:rPr>
          <w:iCs/>
          <w:sz w:val="10"/>
          <w:szCs w:val="10"/>
        </w:rPr>
      </w:pPr>
    </w:p>
    <w:tbl>
      <w:tblPr>
        <w:tblStyle w:val="af5"/>
        <w:tblW w:w="0" w:type="auto"/>
        <w:shd w:val="clear" w:color="auto" w:fill="D9D9D9" w:themeFill="background1" w:themeFillShade="D9"/>
        <w:tblLook w:val="04A0"/>
      </w:tblPr>
      <w:tblGrid>
        <w:gridCol w:w="9571"/>
      </w:tblGrid>
      <w:tr w:rsidR="001E577D" w:rsidRPr="001E577D" w:rsidTr="001E577D">
        <w:tc>
          <w:tcPr>
            <w:tcW w:w="9571" w:type="dxa"/>
            <w:shd w:val="clear" w:color="auto" w:fill="D9D9D9" w:themeFill="background1" w:themeFillShade="D9"/>
          </w:tcPr>
          <w:p w:rsidR="001E577D" w:rsidRPr="001E577D" w:rsidRDefault="001E577D" w:rsidP="001E577D">
            <w:pPr>
              <w:spacing w:before="100" w:afterAutospacing="0"/>
              <w:jc w:val="both"/>
              <w:rPr>
                <w:iCs/>
              </w:rPr>
            </w:pPr>
            <w:r w:rsidRPr="001E577D">
              <w:rPr>
                <w:iCs/>
              </w:rPr>
              <w:t>«В банках часто нет наличных денег для выдачи заработной платы работникам фермерских хозяйств. Задержки длятся до трёх месяцев. 70% заработной платы работников переведены на выдачу по карточной системе, а банкоматы либо отсутствуют, либо в них нет денег. Куда надо идти фермеру, к какому банкомату?»</w:t>
            </w:r>
          </w:p>
          <w:p w:rsidR="001E577D" w:rsidRPr="001E577D" w:rsidRDefault="001E577D" w:rsidP="001E577D">
            <w:pPr>
              <w:spacing w:before="100" w:afterAutospacing="0"/>
              <w:jc w:val="right"/>
              <w:rPr>
                <w:i/>
              </w:rPr>
            </w:pPr>
            <w:r w:rsidRPr="001E577D">
              <w:rPr>
                <w:i/>
              </w:rPr>
              <w:t>Из интервью с представителями Сурхандарьинской области, 2009 г.</w:t>
            </w:r>
          </w:p>
        </w:tc>
      </w:tr>
    </w:tbl>
    <w:p w:rsidR="0087264E" w:rsidRDefault="0087264E" w:rsidP="0087264E">
      <w:pPr>
        <w:spacing w:before="120"/>
        <w:jc w:val="both"/>
      </w:pPr>
      <w:r w:rsidRPr="00555A33">
        <w:t>Неэффективная работа банков связанна</w:t>
      </w:r>
      <w:r w:rsidRPr="00555A33">
        <w:rPr>
          <w:b/>
        </w:rPr>
        <w:t xml:space="preserve"> </w:t>
      </w:r>
      <w:r w:rsidRPr="00555A33">
        <w:t>с недостаточной степенью их коммерциализации, высокой зарегулированностью со стороны Центрального банка, недостаточной развитостью конкуренции в секторе и слабой зависимостью от клиентов.</w:t>
      </w:r>
    </w:p>
    <w:tbl>
      <w:tblPr>
        <w:tblStyle w:val="af5"/>
        <w:tblW w:w="0" w:type="auto"/>
        <w:shd w:val="clear" w:color="auto" w:fill="D9D9D9" w:themeFill="background1" w:themeFillShade="D9"/>
        <w:tblLook w:val="04A0"/>
      </w:tblPr>
      <w:tblGrid>
        <w:gridCol w:w="9571"/>
      </w:tblGrid>
      <w:tr w:rsidR="00A029F2" w:rsidRPr="00A029F2" w:rsidTr="00A029F2">
        <w:tc>
          <w:tcPr>
            <w:tcW w:w="9571" w:type="dxa"/>
            <w:shd w:val="clear" w:color="auto" w:fill="D9D9D9" w:themeFill="background1" w:themeFillShade="D9"/>
          </w:tcPr>
          <w:p w:rsidR="00A029F2" w:rsidRPr="00A029F2" w:rsidRDefault="00A029F2" w:rsidP="00A029F2">
            <w:pPr>
              <w:spacing w:before="100" w:afterAutospacing="0"/>
              <w:jc w:val="both"/>
            </w:pPr>
            <w:r w:rsidRPr="00A029F2">
              <w:t xml:space="preserve">Кредитный союз «Ишонч» (Джизакская область) - самый крупный по числу членов в республике. Создан в 2002 году. Когда создавали кредитный союз, многие отговаривали, так как </w:t>
            </w:r>
            <w:r>
              <w:t xml:space="preserve">в </w:t>
            </w:r>
            <w:r w:rsidRPr="00A029F2">
              <w:t>Джизак</w:t>
            </w:r>
            <w:r>
              <w:t>ской области средний уровень жизни ниже, чем по стране, а, следовательно,</w:t>
            </w:r>
            <w:r w:rsidRPr="00A029F2">
              <w:t xml:space="preserve"> у людей </w:t>
            </w:r>
            <w:r>
              <w:t>мало</w:t>
            </w:r>
            <w:r w:rsidRPr="00A029F2">
              <w:t xml:space="preserve"> денег. Сегодня активы кредитного союза составляют 7 млрд. сум. Кредиты дают по 5-7% в месяц. В день могут дать 100-200 млн. сум кредитов. Очень много людей, благодаря этим кредитам, встали на ноги, открыли собственный бизнес. «Ишонч» признан налоговиками лучшим налогоплательщиком региона и освобожден от проверок на 5 лет. КС дает кредиты не только под залог, но и по поручительству, на доверии (если предыдущие кредиты возвращались в срок). Есть социальные (льготные) кредиты: для женщин, инвалидов, на обучение. </w:t>
            </w:r>
          </w:p>
          <w:p w:rsidR="00A029F2" w:rsidRPr="00A029F2" w:rsidRDefault="00A029F2" w:rsidP="00A029F2">
            <w:pPr>
              <w:spacing w:before="100" w:afterAutospacing="0"/>
              <w:jc w:val="right"/>
            </w:pPr>
            <w:r w:rsidRPr="00A029F2">
              <w:rPr>
                <w:i/>
              </w:rPr>
              <w:t xml:space="preserve">Из интервью </w:t>
            </w:r>
            <w:r>
              <w:rPr>
                <w:i/>
              </w:rPr>
              <w:t xml:space="preserve">с </w:t>
            </w:r>
            <w:r w:rsidRPr="00A029F2">
              <w:rPr>
                <w:i/>
              </w:rPr>
              <w:t>представителя</w:t>
            </w:r>
            <w:r>
              <w:rPr>
                <w:i/>
              </w:rPr>
              <w:t>ми</w:t>
            </w:r>
            <w:r w:rsidRPr="00A029F2">
              <w:rPr>
                <w:i/>
              </w:rPr>
              <w:t xml:space="preserve"> Джизакской области, 2009 г.</w:t>
            </w:r>
          </w:p>
        </w:tc>
      </w:tr>
    </w:tbl>
    <w:p w:rsidR="000C2F6E" w:rsidRPr="0074323B" w:rsidRDefault="000C2F6E" w:rsidP="00F77583">
      <w:pPr>
        <w:autoSpaceDE w:val="0"/>
        <w:autoSpaceDN w:val="0"/>
        <w:adjustRightInd w:val="0"/>
        <w:spacing w:before="100"/>
        <w:jc w:val="right"/>
        <w:rPr>
          <w:i/>
          <w:sz w:val="22"/>
          <w:szCs w:val="22"/>
          <w:highlight w:val="lightGray"/>
        </w:rPr>
      </w:pPr>
    </w:p>
    <w:p w:rsidR="007133AD" w:rsidRPr="004523AC" w:rsidRDefault="007133AD" w:rsidP="007133AD">
      <w:pPr>
        <w:spacing w:before="120"/>
        <w:jc w:val="both"/>
      </w:pPr>
      <w:r>
        <w:t xml:space="preserve">При осуществлении инвестиций предприниматели сталкиваются с разного рода рисками, способными поставить под угрозу успешность бизнеса. Основной способ управления рисками – их </w:t>
      </w:r>
      <w:r w:rsidRPr="00A029F2">
        <w:rPr>
          <w:b/>
          <w:i/>
        </w:rPr>
        <w:t>страхование</w:t>
      </w:r>
      <w:r>
        <w:t xml:space="preserve">. Между тем страховой сектор пока еще слабо развит в Узбекистане. Так </w:t>
      </w:r>
      <w:r w:rsidRPr="004523AC">
        <w:rPr>
          <w:rFonts w:eastAsiaTheme="minorHAnsi"/>
          <w:lang w:eastAsia="en-US"/>
        </w:rPr>
        <w:t>доля собранной страховой премии в ВВП состав</w:t>
      </w:r>
      <w:r>
        <w:rPr>
          <w:rFonts w:eastAsiaTheme="minorHAnsi"/>
          <w:lang w:eastAsia="en-US"/>
        </w:rPr>
        <w:t>и</w:t>
      </w:r>
      <w:r w:rsidRPr="004523AC">
        <w:rPr>
          <w:rFonts w:eastAsiaTheme="minorHAnsi"/>
          <w:lang w:eastAsia="en-US"/>
        </w:rPr>
        <w:t>л</w:t>
      </w:r>
      <w:r>
        <w:rPr>
          <w:rFonts w:eastAsiaTheme="minorHAnsi"/>
          <w:lang w:eastAsia="en-US"/>
        </w:rPr>
        <w:t xml:space="preserve">а в </w:t>
      </w:r>
      <w:r w:rsidRPr="004523AC">
        <w:rPr>
          <w:rFonts w:eastAsiaTheme="minorHAnsi"/>
          <w:lang w:eastAsia="en-US"/>
        </w:rPr>
        <w:t>2008</w:t>
      </w:r>
      <w:r>
        <w:rPr>
          <w:rFonts w:eastAsiaTheme="minorHAnsi"/>
          <w:lang w:eastAsia="en-US"/>
        </w:rPr>
        <w:t xml:space="preserve"> году </w:t>
      </w:r>
      <w:r w:rsidRPr="004523AC">
        <w:rPr>
          <w:rFonts w:eastAsiaTheme="minorHAnsi"/>
          <w:lang w:eastAsia="en-US"/>
        </w:rPr>
        <w:t>0,24%</w:t>
      </w:r>
      <w:r>
        <w:rPr>
          <w:rFonts w:eastAsiaTheme="minorHAnsi"/>
          <w:lang w:eastAsia="en-US"/>
        </w:rPr>
        <w:t xml:space="preserve">. Для сравнения </w:t>
      </w:r>
      <w:r w:rsidRPr="004523AC">
        <w:rPr>
          <w:rFonts w:eastAsiaTheme="minorHAnsi"/>
          <w:lang w:eastAsia="en-US"/>
        </w:rPr>
        <w:t xml:space="preserve">в </w:t>
      </w:r>
      <w:r>
        <w:rPr>
          <w:rFonts w:eastAsiaTheme="minorHAnsi"/>
          <w:lang w:eastAsia="en-US"/>
        </w:rPr>
        <w:t xml:space="preserve">большинстве </w:t>
      </w:r>
      <w:r w:rsidRPr="004523AC">
        <w:rPr>
          <w:rFonts w:eastAsiaTheme="minorHAnsi"/>
          <w:lang w:eastAsia="en-US"/>
        </w:rPr>
        <w:t xml:space="preserve">других стран с развивающейся экономикой </w:t>
      </w:r>
      <w:r>
        <w:rPr>
          <w:rFonts w:eastAsiaTheme="minorHAnsi"/>
          <w:lang w:eastAsia="en-US"/>
        </w:rPr>
        <w:t>эта цифра равна</w:t>
      </w:r>
      <w:r w:rsidRPr="004523AC">
        <w:rPr>
          <w:rFonts w:eastAsiaTheme="minorHAnsi"/>
          <w:lang w:eastAsia="en-US"/>
        </w:rPr>
        <w:t xml:space="preserve"> 2-3%, в промышленно развитых странах – до 10-12%</w:t>
      </w:r>
      <w:r>
        <w:rPr>
          <w:rStyle w:val="a5"/>
          <w:rFonts w:eastAsiaTheme="minorHAnsi"/>
          <w:lang w:eastAsia="en-US"/>
        </w:rPr>
        <w:footnoteReference w:id="32"/>
      </w:r>
      <w:r>
        <w:rPr>
          <w:rFonts w:eastAsiaTheme="minorHAnsi"/>
          <w:lang w:eastAsia="en-US"/>
        </w:rPr>
        <w:t xml:space="preserve">. Имеются и существенные межрегиональные различия (см. </w:t>
      </w:r>
      <w:r w:rsidRPr="004523AC">
        <w:rPr>
          <w:rFonts w:eastAsiaTheme="minorHAnsi"/>
          <w:highlight w:val="yellow"/>
          <w:lang w:eastAsia="en-US"/>
        </w:rPr>
        <w:t xml:space="preserve">Рисунок </w:t>
      </w:r>
      <w:r w:rsidR="0088708F">
        <w:rPr>
          <w:rFonts w:eastAsiaTheme="minorHAnsi"/>
          <w:highlight w:val="yellow"/>
          <w:lang w:eastAsia="en-US"/>
        </w:rPr>
        <w:t>2.21</w:t>
      </w:r>
      <w:r>
        <w:rPr>
          <w:rFonts w:eastAsiaTheme="minorHAnsi"/>
          <w:lang w:eastAsia="en-US"/>
        </w:rPr>
        <w:t xml:space="preserve">). </w:t>
      </w:r>
    </w:p>
    <w:p w:rsidR="00C63E9A" w:rsidRDefault="004523AC" w:rsidP="00AF6049">
      <w:pPr>
        <w:spacing w:before="120"/>
        <w:rPr>
          <w:b/>
        </w:rPr>
      </w:pPr>
      <w:r>
        <w:rPr>
          <w:b/>
        </w:rPr>
        <w:t>Рисунок</w:t>
      </w:r>
      <w:r w:rsidRPr="00FF07A1">
        <w:rPr>
          <w:b/>
        </w:rPr>
        <w:t xml:space="preserve"> </w:t>
      </w:r>
      <w:r w:rsidR="0088708F">
        <w:rPr>
          <w:b/>
        </w:rPr>
        <w:t>2</w:t>
      </w:r>
      <w:r w:rsidRPr="00FF07A1">
        <w:rPr>
          <w:b/>
        </w:rPr>
        <w:t>.</w:t>
      </w:r>
      <w:r w:rsidR="0088708F">
        <w:rPr>
          <w:b/>
        </w:rPr>
        <w:t>21.</w:t>
      </w:r>
      <w:r w:rsidRPr="00FF07A1">
        <w:rPr>
          <w:b/>
        </w:rPr>
        <w:t xml:space="preserve"> </w:t>
      </w:r>
      <w:r>
        <w:rPr>
          <w:b/>
        </w:rPr>
        <w:t>Средний объем страховых премий</w:t>
      </w:r>
      <w:r w:rsidRPr="00FF07A1">
        <w:rPr>
          <w:b/>
        </w:rPr>
        <w:t xml:space="preserve"> на 1 чел, </w:t>
      </w:r>
      <w:r>
        <w:rPr>
          <w:b/>
        </w:rPr>
        <w:t xml:space="preserve">средние значения за 2004-2008 гг., </w:t>
      </w:r>
      <w:r w:rsidRPr="00FF07A1">
        <w:rPr>
          <w:b/>
        </w:rPr>
        <w:t xml:space="preserve">в тыс. </w:t>
      </w:r>
      <w:r>
        <w:rPr>
          <w:b/>
        </w:rPr>
        <w:t>сумм (в ценах 2005 г.)</w:t>
      </w:r>
    </w:p>
    <w:p w:rsidR="00AF6049" w:rsidRDefault="00AF6049" w:rsidP="00AF6049">
      <w:pPr>
        <w:spacing w:before="120"/>
        <w:jc w:val="center"/>
        <w:rPr>
          <w:highlight w:val="yellow"/>
        </w:rPr>
      </w:pPr>
      <w:r w:rsidRPr="00AF6049">
        <w:rPr>
          <w:noProof/>
        </w:rPr>
        <w:drawing>
          <wp:inline distT="0" distB="0" distL="0" distR="0">
            <wp:extent cx="5213644" cy="3261184"/>
            <wp:effectExtent l="19050" t="0" r="25106"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29F2" w:rsidRDefault="00A3255F" w:rsidP="001B4613">
      <w:pPr>
        <w:spacing w:before="100"/>
        <w:jc w:val="both"/>
      </w:pPr>
      <w:r w:rsidRPr="0036227B">
        <w:rPr>
          <w:b/>
        </w:rPr>
        <w:t>Доступ к инфраструктуре</w:t>
      </w:r>
      <w:r>
        <w:t>. Для эффективной деятельности предприяти</w:t>
      </w:r>
      <w:r w:rsidR="00B52975">
        <w:t>ям</w:t>
      </w:r>
      <w:r>
        <w:t xml:space="preserve"> важно иметь бесперебойный доступ к </w:t>
      </w:r>
      <w:r w:rsidRPr="00A029F2">
        <w:rPr>
          <w:b/>
          <w:i/>
        </w:rPr>
        <w:t>коммунальным услугам</w:t>
      </w:r>
      <w:r>
        <w:t>. Результаты опроса МФК</w:t>
      </w:r>
      <w:r>
        <w:rPr>
          <w:rStyle w:val="a5"/>
        </w:rPr>
        <w:footnoteReference w:id="33"/>
      </w:r>
      <w:r>
        <w:t xml:space="preserve"> показывают, что в регионах часто не бывает доступа к нужным ресурсам или часто бывают отключения коммунальных услуг. Большие проблемы с холодной водной имеются в Ферганской и Сурхандарьинской областях, с горячей водой и отоплением - в Ферганской и Джизакской областях, с электричеством - в Кашкадарьинской и Джизакской областях, с </w:t>
      </w:r>
      <w:r w:rsidR="0036227B">
        <w:t xml:space="preserve">природным </w:t>
      </w:r>
      <w:r>
        <w:t xml:space="preserve">газом - в Наманганской и Ферганской областях. </w:t>
      </w:r>
      <w:r w:rsidRPr="00DE6A9C">
        <w:t xml:space="preserve">В </w:t>
      </w:r>
      <w:r>
        <w:t>целом по республике в 2007 году у 27% предприятий были простои из-за перебоев в коммунальных услугах, из них у промышленных - 46%.</w:t>
      </w:r>
    </w:p>
    <w:tbl>
      <w:tblPr>
        <w:tblStyle w:val="af5"/>
        <w:tblW w:w="0" w:type="auto"/>
        <w:shd w:val="clear" w:color="auto" w:fill="D9D9D9" w:themeFill="background1" w:themeFillShade="D9"/>
        <w:tblLook w:val="04A0"/>
      </w:tblPr>
      <w:tblGrid>
        <w:gridCol w:w="9571"/>
      </w:tblGrid>
      <w:tr w:rsidR="001B4613" w:rsidRPr="001B4613" w:rsidTr="00720CF3">
        <w:tc>
          <w:tcPr>
            <w:tcW w:w="9571" w:type="dxa"/>
            <w:shd w:val="clear" w:color="auto" w:fill="D9D9D9" w:themeFill="background1" w:themeFillShade="D9"/>
          </w:tcPr>
          <w:p w:rsidR="001B4613" w:rsidRPr="001B4613" w:rsidRDefault="001B4613" w:rsidP="001B4613">
            <w:pPr>
              <w:autoSpaceDE w:val="0"/>
              <w:autoSpaceDN w:val="0"/>
              <w:adjustRightInd w:val="0"/>
              <w:spacing w:before="100" w:afterAutospacing="0"/>
              <w:jc w:val="both"/>
            </w:pPr>
            <w:r w:rsidRPr="001B4613">
              <w:t xml:space="preserve">«Для развития производства на селе необходимо наладить электроснабжение. Нельзя развивать промышленность, если свет периодически отключается. Ни одно современное оборудование работать в таких условиях не будет. Необходимы коммуникации – дороги и водоснабжение. Канализационных систем в области очень мало. Необходимо наладить газоснабжение. Предприятиям выделяется недостаточно лимита газопотребления». </w:t>
            </w:r>
          </w:p>
          <w:p w:rsidR="001B4613" w:rsidRPr="001B4613" w:rsidRDefault="001B4613" w:rsidP="001B4613">
            <w:pPr>
              <w:spacing w:before="100" w:afterAutospacing="0"/>
              <w:jc w:val="right"/>
              <w:rPr>
                <w:i/>
              </w:rPr>
            </w:pPr>
            <w:r w:rsidRPr="001B4613">
              <w:rPr>
                <w:i/>
              </w:rPr>
              <w:t>Из интервью с представителями Ферганской области, 2009 г.</w:t>
            </w:r>
          </w:p>
        </w:tc>
      </w:tr>
    </w:tbl>
    <w:p w:rsidR="00A029F2" w:rsidRDefault="00A029F2" w:rsidP="00575AFD">
      <w:pPr>
        <w:spacing w:before="120"/>
        <w:jc w:val="both"/>
        <w:rPr>
          <w:color w:val="1A171B"/>
        </w:rPr>
      </w:pPr>
      <w:r w:rsidRPr="001B4613">
        <w:t xml:space="preserve">Не менее важен для предприятий доступ к </w:t>
      </w:r>
      <w:r w:rsidRPr="001B4613">
        <w:rPr>
          <w:b/>
          <w:i/>
        </w:rPr>
        <w:t>транспортной инфраструктуре</w:t>
      </w:r>
      <w:r w:rsidR="00B52975" w:rsidRPr="001B4613">
        <w:t xml:space="preserve">, так как транспортные коммуникации – канал доставки сырья и оборудования, инструмент </w:t>
      </w:r>
      <w:r w:rsidR="00B52975" w:rsidRPr="001B4613">
        <w:lastRenderedPageBreak/>
        <w:t>расширения рынков сбыта готовой продукции. Ограниченность доступа к транспортным коммуникациям зачастую носит объективный характер: она может быть связана с физическими особенностями местности (например, это касается высокогорных районов), географической удаленностью от столицы и основных транспортных артерий</w:t>
      </w:r>
      <w:r w:rsidR="00575AFD" w:rsidRPr="001B4613">
        <w:t xml:space="preserve">. Большие сложности после обретения независимости стали возникать при </w:t>
      </w:r>
      <w:r w:rsidR="00B52975" w:rsidRPr="001B4613">
        <w:t>использовани</w:t>
      </w:r>
      <w:r w:rsidR="00575AFD" w:rsidRPr="001B4613">
        <w:t>и</w:t>
      </w:r>
      <w:r w:rsidR="00B52975" w:rsidRPr="001B4613">
        <w:t xml:space="preserve"> транспортных коммуникаций, проложенных </w:t>
      </w:r>
      <w:r w:rsidR="00575AFD" w:rsidRPr="001B4613">
        <w:t xml:space="preserve">по территории нескольких государств, когда для того, чтобы перевезти груз с одного региона страны </w:t>
      </w:r>
      <w:r w:rsidR="00B52975" w:rsidRPr="001B4613">
        <w:t xml:space="preserve">в </w:t>
      </w:r>
      <w:r w:rsidR="00575AFD" w:rsidRPr="001B4613">
        <w:t>другой нужно пересечь государственную границу.</w:t>
      </w:r>
      <w:r w:rsidR="00B52975" w:rsidRPr="001B4613">
        <w:t xml:space="preserve"> </w:t>
      </w:r>
      <w:r w:rsidR="00575AFD" w:rsidRPr="001B4613">
        <w:t xml:space="preserve">Не случайно правительство Узбекистана уделяет особое внимание созданию новых </w:t>
      </w:r>
      <w:r w:rsidRPr="001B4613">
        <w:rPr>
          <w:iCs/>
          <w:color w:val="1A171B"/>
        </w:rPr>
        <w:t>транспортны</w:t>
      </w:r>
      <w:r w:rsidR="00575AFD" w:rsidRPr="001B4613">
        <w:rPr>
          <w:iCs/>
          <w:color w:val="1A171B"/>
        </w:rPr>
        <w:t>х</w:t>
      </w:r>
      <w:r w:rsidRPr="001B4613">
        <w:rPr>
          <w:iCs/>
          <w:color w:val="1A171B"/>
        </w:rPr>
        <w:t xml:space="preserve"> коммуникаци</w:t>
      </w:r>
      <w:r w:rsidR="00575AFD" w:rsidRPr="001B4613">
        <w:rPr>
          <w:iCs/>
          <w:color w:val="1A171B"/>
        </w:rPr>
        <w:t>й</w:t>
      </w:r>
      <w:r w:rsidRPr="001B4613">
        <w:rPr>
          <w:iCs/>
          <w:color w:val="1A171B"/>
        </w:rPr>
        <w:t>, позволяющи</w:t>
      </w:r>
      <w:r w:rsidR="00575AFD" w:rsidRPr="001B4613">
        <w:rPr>
          <w:iCs/>
          <w:color w:val="1A171B"/>
        </w:rPr>
        <w:t>х</w:t>
      </w:r>
      <w:r w:rsidRPr="001B4613">
        <w:rPr>
          <w:iCs/>
          <w:color w:val="1A171B"/>
        </w:rPr>
        <w:t xml:space="preserve"> оптимизировать грузопотоки внутри страны</w:t>
      </w:r>
      <w:r w:rsidR="00575AFD" w:rsidRPr="001B4613">
        <w:rPr>
          <w:iCs/>
          <w:color w:val="1A171B"/>
        </w:rPr>
        <w:t>: строительство</w:t>
      </w:r>
      <w:r w:rsidRPr="001B4613">
        <w:rPr>
          <w:iCs/>
          <w:color w:val="1A171B"/>
        </w:rPr>
        <w:t xml:space="preserve"> </w:t>
      </w:r>
      <w:r w:rsidR="00575AFD" w:rsidRPr="001B4613">
        <w:rPr>
          <w:color w:val="1A171B"/>
        </w:rPr>
        <w:t xml:space="preserve">железной дороги Ташгузар — Байсун — Кумкурган, соединяющий </w:t>
      </w:r>
      <w:r w:rsidRPr="001B4613">
        <w:rPr>
          <w:color w:val="1A171B"/>
        </w:rPr>
        <w:t>Сурхандарьинск</w:t>
      </w:r>
      <w:r w:rsidR="00575AFD" w:rsidRPr="001B4613">
        <w:rPr>
          <w:color w:val="1A171B"/>
        </w:rPr>
        <w:t>ую</w:t>
      </w:r>
      <w:r w:rsidRPr="001B4613">
        <w:rPr>
          <w:color w:val="1A171B"/>
        </w:rPr>
        <w:t xml:space="preserve"> и Кашкадарьинск</w:t>
      </w:r>
      <w:r w:rsidR="00575AFD" w:rsidRPr="001B4613">
        <w:rPr>
          <w:color w:val="1A171B"/>
        </w:rPr>
        <w:t>ую</w:t>
      </w:r>
      <w:r w:rsidRPr="001B4613">
        <w:rPr>
          <w:color w:val="1A171B"/>
        </w:rPr>
        <w:t xml:space="preserve"> област</w:t>
      </w:r>
      <w:r w:rsidR="00575AFD" w:rsidRPr="001B4613">
        <w:rPr>
          <w:color w:val="1A171B"/>
        </w:rPr>
        <w:t>и с другими регионами,</w:t>
      </w:r>
      <w:r w:rsidRPr="001B4613">
        <w:rPr>
          <w:color w:val="1A171B"/>
        </w:rPr>
        <w:t xml:space="preserve"> реконструкция автодороги через перевал Камчик</w:t>
      </w:r>
      <w:r w:rsidR="00575AFD" w:rsidRPr="001B4613">
        <w:rPr>
          <w:color w:val="1A171B"/>
        </w:rPr>
        <w:t>, важнейшая артерия к Ферганской долине</w:t>
      </w:r>
      <w:r w:rsidRPr="001B4613">
        <w:rPr>
          <w:color w:val="1A171B"/>
        </w:rPr>
        <w:t xml:space="preserve">, </w:t>
      </w:r>
      <w:r w:rsidR="00575AFD" w:rsidRPr="001B4613">
        <w:rPr>
          <w:color w:val="1A171B"/>
        </w:rPr>
        <w:t xml:space="preserve"> строительство </w:t>
      </w:r>
      <w:r w:rsidRPr="001B4613">
        <w:rPr>
          <w:color w:val="1A171B"/>
        </w:rPr>
        <w:t>железн</w:t>
      </w:r>
      <w:r w:rsidR="00575AFD" w:rsidRPr="001B4613">
        <w:rPr>
          <w:color w:val="1A171B"/>
        </w:rPr>
        <w:t>ой</w:t>
      </w:r>
      <w:r w:rsidRPr="001B4613">
        <w:rPr>
          <w:color w:val="1A171B"/>
        </w:rPr>
        <w:t xml:space="preserve"> дорог</w:t>
      </w:r>
      <w:r w:rsidR="00575AFD" w:rsidRPr="001B4613">
        <w:rPr>
          <w:color w:val="1A171B"/>
        </w:rPr>
        <w:t>и</w:t>
      </w:r>
      <w:r w:rsidRPr="001B4613">
        <w:rPr>
          <w:color w:val="1A171B"/>
        </w:rPr>
        <w:t xml:space="preserve"> Навои — Учку-дук — Султануиздаг</w:t>
      </w:r>
      <w:r w:rsidR="00575AFD" w:rsidRPr="001B4613">
        <w:rPr>
          <w:color w:val="1A171B"/>
        </w:rPr>
        <w:t>, позволяющей обеспечить грузо- и пассажироперевозки в Карака</w:t>
      </w:r>
      <w:r w:rsidR="001B4613" w:rsidRPr="001B4613">
        <w:rPr>
          <w:color w:val="1A171B"/>
        </w:rPr>
        <w:t>лпакстан и Хорезмскую область</w:t>
      </w:r>
      <w:r w:rsidRPr="001B4613">
        <w:rPr>
          <w:color w:val="1A171B"/>
        </w:rPr>
        <w:t>).</w:t>
      </w:r>
      <w:r w:rsidR="001B4613" w:rsidRPr="001B4613">
        <w:rPr>
          <w:color w:val="1A171B"/>
        </w:rPr>
        <w:t xml:space="preserve"> Такого рода инвестиции в инфраструктуру оказывают огромное благотворное влияние на экономики и уровень жизни населения удаленных регионов страны.</w:t>
      </w:r>
    </w:p>
    <w:tbl>
      <w:tblPr>
        <w:tblStyle w:val="af5"/>
        <w:tblW w:w="0" w:type="auto"/>
        <w:shd w:val="clear" w:color="auto" w:fill="D9D9D9" w:themeFill="background1" w:themeFillShade="D9"/>
        <w:tblLook w:val="04A0"/>
      </w:tblPr>
      <w:tblGrid>
        <w:gridCol w:w="9571"/>
      </w:tblGrid>
      <w:tr w:rsidR="001B4613" w:rsidRPr="001B4613" w:rsidTr="001B4613">
        <w:tc>
          <w:tcPr>
            <w:tcW w:w="9571" w:type="dxa"/>
            <w:shd w:val="clear" w:color="auto" w:fill="D9D9D9" w:themeFill="background1" w:themeFillShade="D9"/>
          </w:tcPr>
          <w:p w:rsidR="001B4613" w:rsidRPr="001B4613" w:rsidRDefault="001B4613" w:rsidP="001B4613">
            <w:pPr>
              <w:autoSpaceDE w:val="0"/>
              <w:autoSpaceDN w:val="0"/>
              <w:adjustRightInd w:val="0"/>
              <w:spacing w:before="100" w:afterAutospacing="0"/>
              <w:jc w:val="both"/>
            </w:pPr>
            <w:r w:rsidRPr="001B4613">
              <w:t>Довольно значительные изменения в экономике области произошли с введением в действие прямого железнодорожного сообщения между Кашкадарьинской областью и Сурхандарьёй: а) продукты и товары, поставляемые из других регионов республики, подешевели; б) Сурхандарья вошла в единую железнодорожную систему страны, что позволило избежать пересечения границы соседних государств; в) открытие дороги положительно сказалось на мышлении жителей области. Еще больший экономический эффект будет достигнут после открытия пассажирского сообщения.</w:t>
            </w:r>
          </w:p>
          <w:p w:rsidR="001B4613" w:rsidRPr="001B4613" w:rsidRDefault="001B4613" w:rsidP="001B4613">
            <w:pPr>
              <w:spacing w:before="100" w:afterAutospacing="0"/>
              <w:jc w:val="right"/>
              <w:rPr>
                <w:i/>
              </w:rPr>
            </w:pPr>
            <w:r w:rsidRPr="001B4613">
              <w:rPr>
                <w:i/>
              </w:rPr>
              <w:t>Из интервью</w:t>
            </w:r>
            <w:r>
              <w:rPr>
                <w:i/>
              </w:rPr>
              <w:t xml:space="preserve"> с</w:t>
            </w:r>
            <w:r w:rsidRPr="001B4613">
              <w:rPr>
                <w:i/>
              </w:rPr>
              <w:t xml:space="preserve"> представител</w:t>
            </w:r>
            <w:r>
              <w:rPr>
                <w:i/>
              </w:rPr>
              <w:t>ями</w:t>
            </w:r>
            <w:r w:rsidRPr="001B4613">
              <w:rPr>
                <w:i/>
              </w:rPr>
              <w:t xml:space="preserve"> Су</w:t>
            </w:r>
            <w:r>
              <w:rPr>
                <w:i/>
              </w:rPr>
              <w:t>р</w:t>
            </w:r>
            <w:r w:rsidRPr="001B4613">
              <w:rPr>
                <w:i/>
              </w:rPr>
              <w:t>хандарьинской области, 2009 г.</w:t>
            </w:r>
          </w:p>
        </w:tc>
      </w:tr>
    </w:tbl>
    <w:p w:rsidR="001B4613" w:rsidRDefault="001B4613">
      <w:pPr>
        <w:spacing w:after="200" w:line="276" w:lineRule="auto"/>
        <w:rPr>
          <w:b/>
        </w:rPr>
      </w:pPr>
      <w:r>
        <w:rPr>
          <w:b/>
        </w:rPr>
        <w:br w:type="page"/>
      </w:r>
    </w:p>
    <w:p w:rsidR="0074323B" w:rsidRPr="00D61722" w:rsidRDefault="0074323B" w:rsidP="0074323B">
      <w:pPr>
        <w:spacing w:after="200" w:line="276" w:lineRule="auto"/>
        <w:jc w:val="center"/>
        <w:rPr>
          <w:b/>
          <w:sz w:val="28"/>
          <w:szCs w:val="28"/>
        </w:rPr>
      </w:pPr>
      <w:r w:rsidRPr="00D61722">
        <w:rPr>
          <w:b/>
          <w:sz w:val="28"/>
          <w:szCs w:val="28"/>
        </w:rPr>
        <w:lastRenderedPageBreak/>
        <w:t>2.</w:t>
      </w:r>
      <w:r w:rsidR="00494A0F" w:rsidRPr="00D61722">
        <w:rPr>
          <w:b/>
          <w:sz w:val="28"/>
          <w:szCs w:val="28"/>
        </w:rPr>
        <w:t>4</w:t>
      </w:r>
      <w:r w:rsidRPr="00D61722">
        <w:rPr>
          <w:b/>
          <w:sz w:val="28"/>
          <w:szCs w:val="28"/>
        </w:rPr>
        <w:t>. Основные выводы и рекомендации</w:t>
      </w:r>
    </w:p>
    <w:p w:rsidR="00CC2452" w:rsidRDefault="00CC2452" w:rsidP="00B5170B">
      <w:pPr>
        <w:spacing w:before="120"/>
        <w:jc w:val="center"/>
        <w:rPr>
          <w:b/>
        </w:rPr>
      </w:pPr>
    </w:p>
    <w:p w:rsidR="00B5170B" w:rsidRDefault="00B5170B" w:rsidP="00B5170B">
      <w:pPr>
        <w:spacing w:before="120"/>
        <w:jc w:val="center"/>
        <w:rPr>
          <w:b/>
        </w:rPr>
      </w:pPr>
      <w:r>
        <w:rPr>
          <w:b/>
        </w:rPr>
        <w:t>По разделу</w:t>
      </w:r>
      <w:r w:rsidRPr="00E961B2">
        <w:rPr>
          <w:b/>
        </w:rPr>
        <w:t xml:space="preserve"> </w:t>
      </w:r>
      <w:r>
        <w:rPr>
          <w:b/>
        </w:rPr>
        <w:t>«</w:t>
      </w:r>
      <w:r w:rsidR="00CA14FF">
        <w:rPr>
          <w:b/>
        </w:rPr>
        <w:t>З</w:t>
      </w:r>
      <w:r>
        <w:rPr>
          <w:b/>
        </w:rPr>
        <w:t>анятость и качество человеческого капитала»</w:t>
      </w:r>
    </w:p>
    <w:p w:rsidR="00B5170B" w:rsidRDefault="00B5170B" w:rsidP="00B5170B">
      <w:pPr>
        <w:spacing w:before="120"/>
        <w:jc w:val="both"/>
      </w:pPr>
      <w:r>
        <w:t xml:space="preserve">1. </w:t>
      </w:r>
      <w:r w:rsidRPr="00A55E93">
        <w:rPr>
          <w:b/>
          <w:i/>
        </w:rPr>
        <w:t>Ч</w:t>
      </w:r>
      <w:r w:rsidRPr="00F44A01">
        <w:rPr>
          <w:b/>
          <w:i/>
        </w:rPr>
        <w:t>ем больше доля трудоспособного населения, чем большая часть трудоспособных осуществляет экономическую деятельность</w:t>
      </w:r>
      <w:r w:rsidRPr="005B3FC9">
        <w:t xml:space="preserve"> (работа по найму, предпринимательство)</w:t>
      </w:r>
      <w:r w:rsidRPr="00F44A01">
        <w:rPr>
          <w:b/>
          <w:i/>
        </w:rPr>
        <w:t xml:space="preserve">, </w:t>
      </w:r>
      <w:r>
        <w:rPr>
          <w:b/>
          <w:i/>
        </w:rPr>
        <w:t xml:space="preserve">чем выше производительность труда занятых, </w:t>
      </w:r>
      <w:r w:rsidRPr="00F44A01">
        <w:rPr>
          <w:b/>
          <w:i/>
        </w:rPr>
        <w:t>тем</w:t>
      </w:r>
      <w:r>
        <w:rPr>
          <w:b/>
          <w:i/>
        </w:rPr>
        <w:t>, как правило,</w:t>
      </w:r>
      <w:r w:rsidRPr="00F44A01">
        <w:rPr>
          <w:b/>
          <w:i/>
        </w:rPr>
        <w:t xml:space="preserve"> выше уровень благосостояния населения региона</w:t>
      </w:r>
      <w:r>
        <w:t xml:space="preserve">. Соответственно увеличение занятости, развитие частного предпринимательства и </w:t>
      </w:r>
      <w:r w:rsidR="002631AA">
        <w:t>повышение</w:t>
      </w:r>
      <w:r>
        <w:t xml:space="preserve"> квалификации рабочей силы – важнейшие факторы </w:t>
      </w:r>
      <w:r w:rsidR="002631AA">
        <w:t>роста</w:t>
      </w:r>
      <w:r>
        <w:t xml:space="preserve"> уровня жизни населения. </w:t>
      </w:r>
    </w:p>
    <w:p w:rsidR="00B5170B" w:rsidRDefault="00B5170B" w:rsidP="00B5170B">
      <w:pPr>
        <w:spacing w:before="120"/>
        <w:jc w:val="both"/>
      </w:pPr>
      <w:r>
        <w:t xml:space="preserve">2. </w:t>
      </w:r>
      <w:r w:rsidRPr="00A55E93">
        <w:rPr>
          <w:b/>
          <w:i/>
        </w:rPr>
        <w:t>Потенциал регионов в обладании рабочей силой в значительной степени определяется демографическими факторами: темпами рождаемости и долей нетрудосп</w:t>
      </w:r>
      <w:r>
        <w:rPr>
          <w:b/>
          <w:i/>
        </w:rPr>
        <w:t>о</w:t>
      </w:r>
      <w:r w:rsidRPr="00A55E93">
        <w:rPr>
          <w:b/>
          <w:i/>
        </w:rPr>
        <w:t>собных в численности населения</w:t>
      </w:r>
      <w:r>
        <w:t xml:space="preserve">. Регионы с высокими темпами рождаемости и, соответственно, более значительной долей нетрудоспособных имеют более худшие показатели занятости и экономической активности населения и занимают более низкое место в рейтинге ЭИЧР. </w:t>
      </w:r>
    </w:p>
    <w:p w:rsidR="00B5170B" w:rsidRDefault="00B937E0" w:rsidP="00B5170B">
      <w:pPr>
        <w:spacing w:before="120"/>
        <w:jc w:val="both"/>
      </w:pPr>
      <w:r>
        <w:t>3</w:t>
      </w:r>
      <w:r w:rsidR="00B5170B">
        <w:t xml:space="preserve">. </w:t>
      </w:r>
      <w:r w:rsidR="0088708F">
        <w:rPr>
          <w:b/>
          <w:i/>
        </w:rPr>
        <w:t>Важнейший</w:t>
      </w:r>
      <w:r w:rsidR="00B5170B" w:rsidRPr="00EA3133">
        <w:rPr>
          <w:b/>
          <w:i/>
        </w:rPr>
        <w:t xml:space="preserve"> фактор, ограничивающий рост занятости и экономической активности населения, – высокое налоговое бремя, прежде всего высокие налоги на труд</w:t>
      </w:r>
      <w:r w:rsidR="00B5170B">
        <w:t xml:space="preserve">. Существующая налоговая система не стимулирует развитие трудоемких производств, производств с высокой добавленной стоимостью, рост официальной занятости. </w:t>
      </w:r>
    </w:p>
    <w:p w:rsidR="00B5170B" w:rsidRPr="00652A56" w:rsidRDefault="00B5170B" w:rsidP="00B5170B">
      <w:pPr>
        <w:spacing w:before="120"/>
        <w:jc w:val="both"/>
      </w:pPr>
      <w:r>
        <w:t xml:space="preserve">Соответственно </w:t>
      </w:r>
      <w:r w:rsidR="00E74C36">
        <w:t>очень важно</w:t>
      </w:r>
      <w:r>
        <w:t xml:space="preserve"> обратить внимание на совершенст</w:t>
      </w:r>
      <w:r w:rsidRPr="00652A56">
        <w:t>вование налоговой политики, в частности рекомендуется</w:t>
      </w:r>
      <w:r w:rsidR="00720CF3">
        <w:t xml:space="preserve"> рассмотреть возможность</w:t>
      </w:r>
      <w:r w:rsidRPr="00652A56">
        <w:t>:</w:t>
      </w:r>
    </w:p>
    <w:p w:rsidR="00B5170B" w:rsidRDefault="00B5170B" w:rsidP="00B5170B">
      <w:pPr>
        <w:spacing w:before="120"/>
        <w:jc w:val="both"/>
      </w:pPr>
      <w:r>
        <w:t xml:space="preserve">- </w:t>
      </w:r>
      <w:r w:rsidR="002631AA">
        <w:t>снижени</w:t>
      </w:r>
      <w:r w:rsidR="00720CF3">
        <w:t>я</w:t>
      </w:r>
      <w:r w:rsidR="002631AA">
        <w:t xml:space="preserve"> ставок либо расширени</w:t>
      </w:r>
      <w:r w:rsidR="00720CF3">
        <w:t>я</w:t>
      </w:r>
      <w:r w:rsidR="002631AA">
        <w:t xml:space="preserve"> ступеней налогообложения </w:t>
      </w:r>
      <w:r>
        <w:t xml:space="preserve">по подоходному налогу (лучше установить единую ставку для всех уровней зарплаты на уровне 10-15%) и </w:t>
      </w:r>
      <w:r w:rsidR="002631AA">
        <w:t>снижени</w:t>
      </w:r>
      <w:r w:rsidR="00720CF3">
        <w:t>я</w:t>
      </w:r>
      <w:r w:rsidR="002631AA">
        <w:t xml:space="preserve"> ставок </w:t>
      </w:r>
      <w:r>
        <w:t>по единому социальному платежу (рекомендуется перейти к регрессивной шкале</w:t>
      </w:r>
      <w:r w:rsidR="002631AA">
        <w:t xml:space="preserve"> налогообложения</w:t>
      </w:r>
      <w:r>
        <w:t>);</w:t>
      </w:r>
    </w:p>
    <w:p w:rsidR="00B5170B" w:rsidRDefault="00B5170B" w:rsidP="00B5170B">
      <w:pPr>
        <w:spacing w:before="120"/>
        <w:jc w:val="both"/>
      </w:pPr>
      <w:r>
        <w:t>- снижени</w:t>
      </w:r>
      <w:r w:rsidR="00720CF3">
        <w:t>я</w:t>
      </w:r>
      <w:r>
        <w:t xml:space="preserve"> ставок, а лучше всего, отказ от </w:t>
      </w:r>
      <w:r w:rsidRPr="00555A33">
        <w:t>налог</w:t>
      </w:r>
      <w:r>
        <w:t xml:space="preserve">ов и обязательных отчислений </w:t>
      </w:r>
      <w:r w:rsidRPr="00555A33">
        <w:t>с валовой выручки</w:t>
      </w:r>
      <w:r>
        <w:t>, установленных для предприятий, работающих в общеустановленном режиме налогообложения</w:t>
      </w:r>
      <w:r w:rsidR="00720CF3">
        <w:t>.</w:t>
      </w:r>
    </w:p>
    <w:p w:rsidR="00B5170B" w:rsidRDefault="00720CF3" w:rsidP="00B5170B">
      <w:pPr>
        <w:spacing w:before="120"/>
        <w:jc w:val="both"/>
      </w:pPr>
      <w:r>
        <w:t xml:space="preserve">Также очень важно </w:t>
      </w:r>
      <w:r w:rsidR="00B5170B">
        <w:t>продолжить курс на снижение общего налогового бремени и упрощение налоговой системы</w:t>
      </w:r>
      <w:r>
        <w:t xml:space="preserve">. В частности это можно было бы сделать за счет </w:t>
      </w:r>
      <w:r w:rsidR="00B5170B">
        <w:t xml:space="preserve"> расшир</w:t>
      </w:r>
      <w:r>
        <w:t>ения</w:t>
      </w:r>
      <w:r w:rsidR="00B5170B">
        <w:t xml:space="preserve"> круг</w:t>
      </w:r>
      <w:r>
        <w:t>а</w:t>
      </w:r>
      <w:r w:rsidR="00B5170B">
        <w:t xml:space="preserve"> предприятий, которые имеют право </w:t>
      </w:r>
      <w:r w:rsidR="00B5170B" w:rsidRPr="007C0D5D">
        <w:t>использовать упрощенную систему налогообложения</w:t>
      </w:r>
      <w:r>
        <w:t>.</w:t>
      </w:r>
    </w:p>
    <w:p w:rsidR="00B5170B" w:rsidRDefault="00B5170B" w:rsidP="00B5170B">
      <w:pPr>
        <w:spacing w:before="120"/>
        <w:jc w:val="both"/>
      </w:pPr>
      <w:r>
        <w:t>Местным органам власти рекомендуется особое внимание уделять повышению уровня квалификации рабочей силы и развитию частного предпринимательства на террит</w:t>
      </w:r>
      <w:r w:rsidR="008514CA">
        <w:t>о</w:t>
      </w:r>
      <w:r>
        <w:t>рии региона.</w:t>
      </w:r>
    </w:p>
    <w:p w:rsidR="00B937E0" w:rsidRDefault="00B937E0" w:rsidP="00B937E0">
      <w:pPr>
        <w:spacing w:before="120"/>
        <w:jc w:val="both"/>
        <w:rPr>
          <w:color w:val="1A171B"/>
        </w:rPr>
      </w:pPr>
      <w:r>
        <w:t>4.</w:t>
      </w:r>
      <w:r w:rsidRPr="00CA3946">
        <w:t xml:space="preserve"> </w:t>
      </w:r>
      <w:r>
        <w:t xml:space="preserve">В последние годы существенно </w:t>
      </w:r>
      <w:r w:rsidRPr="00817D64">
        <w:rPr>
          <w:b/>
          <w:i/>
        </w:rPr>
        <w:t>возросли масштабы внешней и внутренней трудовой миграции</w:t>
      </w:r>
      <w:r>
        <w:t xml:space="preserve">. </w:t>
      </w:r>
      <w:r>
        <w:rPr>
          <w:color w:val="1A171B"/>
        </w:rPr>
        <w:t xml:space="preserve">Основная проблема внешних мигрантов – их слабая правовая защищенность. </w:t>
      </w:r>
      <w:r w:rsidRPr="00CD2B4A">
        <w:rPr>
          <w:color w:val="1A171B"/>
        </w:rPr>
        <w:t>Главной проблемой для внутренних мигрантов является получение временной прописки</w:t>
      </w:r>
      <w:r>
        <w:rPr>
          <w:color w:val="1A171B"/>
        </w:rPr>
        <w:t xml:space="preserve"> (проблема касается в основном</w:t>
      </w:r>
      <w:r w:rsidRPr="00CD2B4A">
        <w:rPr>
          <w:color w:val="1A171B"/>
        </w:rPr>
        <w:t xml:space="preserve"> Ташкент</w:t>
      </w:r>
      <w:r>
        <w:rPr>
          <w:color w:val="1A171B"/>
        </w:rPr>
        <w:t>а</w:t>
      </w:r>
      <w:r w:rsidR="00215F15">
        <w:rPr>
          <w:color w:val="1A171B"/>
        </w:rPr>
        <w:t xml:space="preserve"> и Ташкентской области</w:t>
      </w:r>
      <w:r>
        <w:rPr>
          <w:color w:val="1A171B"/>
        </w:rPr>
        <w:t>).</w:t>
      </w:r>
    </w:p>
    <w:p w:rsidR="00B5170B" w:rsidRDefault="002631AA" w:rsidP="00B5170B">
      <w:pPr>
        <w:spacing w:before="120"/>
        <w:jc w:val="both"/>
      </w:pPr>
      <w:r>
        <w:t xml:space="preserve">В направлении </w:t>
      </w:r>
      <w:r w:rsidR="00B937E0">
        <w:t>решения проблем трудовой миграции рекомендуется:</w:t>
      </w:r>
    </w:p>
    <w:p w:rsidR="00B937E0" w:rsidRPr="00B937E0" w:rsidRDefault="00B937E0" w:rsidP="00B937E0">
      <w:pPr>
        <w:spacing w:before="120"/>
        <w:jc w:val="both"/>
        <w:rPr>
          <w:color w:val="1A171B"/>
        </w:rPr>
      </w:pPr>
      <w:r>
        <w:rPr>
          <w:color w:val="1A171B"/>
        </w:rPr>
        <w:t xml:space="preserve">- </w:t>
      </w:r>
      <w:r w:rsidRPr="00B937E0">
        <w:rPr>
          <w:color w:val="1A171B"/>
        </w:rPr>
        <w:t xml:space="preserve">принять закон «О </w:t>
      </w:r>
      <w:r w:rsidR="00F33DD9">
        <w:rPr>
          <w:color w:val="1A171B"/>
        </w:rPr>
        <w:t xml:space="preserve">трудовой </w:t>
      </w:r>
      <w:r w:rsidRPr="00B937E0">
        <w:rPr>
          <w:color w:val="1A171B"/>
        </w:rPr>
        <w:t>миграции»</w:t>
      </w:r>
      <w:r>
        <w:rPr>
          <w:color w:val="1A171B"/>
        </w:rPr>
        <w:t>;</w:t>
      </w:r>
    </w:p>
    <w:p w:rsidR="00B937E0" w:rsidRDefault="00B937E0" w:rsidP="00B937E0">
      <w:pPr>
        <w:spacing w:before="120"/>
        <w:jc w:val="both"/>
        <w:rPr>
          <w:color w:val="1A171B"/>
        </w:rPr>
      </w:pPr>
      <w:r>
        <w:rPr>
          <w:color w:val="1A171B"/>
        </w:rPr>
        <w:t>-</w:t>
      </w:r>
      <w:r w:rsidRPr="00B937E0">
        <w:rPr>
          <w:color w:val="1A171B"/>
        </w:rPr>
        <w:t xml:space="preserve"> совершенствовать </w:t>
      </w:r>
      <w:r>
        <w:rPr>
          <w:color w:val="1A171B"/>
        </w:rPr>
        <w:t xml:space="preserve">деятельность </w:t>
      </w:r>
      <w:r w:rsidRPr="00B937E0">
        <w:rPr>
          <w:color w:val="1A171B"/>
        </w:rPr>
        <w:t>бюро организации временных работ, путем увеличения их числа, создания при них условий для социально-бытового обслуживания мардикеров</w:t>
      </w:r>
      <w:r>
        <w:rPr>
          <w:color w:val="1A171B"/>
        </w:rPr>
        <w:t>;</w:t>
      </w:r>
    </w:p>
    <w:p w:rsidR="00B937E0" w:rsidRDefault="00B937E0" w:rsidP="00B937E0">
      <w:pPr>
        <w:spacing w:before="120"/>
        <w:jc w:val="both"/>
        <w:rPr>
          <w:color w:val="1A171B"/>
        </w:rPr>
      </w:pPr>
      <w:r>
        <w:rPr>
          <w:color w:val="1A171B"/>
        </w:rPr>
        <w:t>-</w:t>
      </w:r>
      <w:r w:rsidRPr="00B937E0">
        <w:rPr>
          <w:color w:val="1A171B"/>
        </w:rPr>
        <w:t xml:space="preserve"> упростить порядок регистрации и временной прописки внутренних трудовых мигрантов</w:t>
      </w:r>
      <w:r>
        <w:rPr>
          <w:color w:val="1A171B"/>
        </w:rPr>
        <w:t>;</w:t>
      </w:r>
    </w:p>
    <w:p w:rsidR="00627A96" w:rsidRDefault="00B937E0" w:rsidP="00627A96">
      <w:pPr>
        <w:spacing w:before="120"/>
        <w:jc w:val="both"/>
        <w:rPr>
          <w:color w:val="1A171B"/>
        </w:rPr>
      </w:pPr>
      <w:r>
        <w:rPr>
          <w:color w:val="1A171B"/>
        </w:rPr>
        <w:lastRenderedPageBreak/>
        <w:t xml:space="preserve">- </w:t>
      </w:r>
      <w:r w:rsidRPr="00B937E0">
        <w:t xml:space="preserve">подписание </w:t>
      </w:r>
      <w:r w:rsidRPr="00B937E0">
        <w:rPr>
          <w:color w:val="1A171B"/>
        </w:rPr>
        <w:t>соответствующих межгосударственных соглашений</w:t>
      </w:r>
      <w:r>
        <w:rPr>
          <w:color w:val="1A171B"/>
        </w:rPr>
        <w:t>, нацеленных на</w:t>
      </w:r>
      <w:r w:rsidRPr="00B937E0">
        <w:rPr>
          <w:color w:val="1A171B"/>
        </w:rPr>
        <w:t xml:space="preserve"> увеличени</w:t>
      </w:r>
      <w:r>
        <w:rPr>
          <w:color w:val="1A171B"/>
        </w:rPr>
        <w:t>е</w:t>
      </w:r>
      <w:r w:rsidRPr="00B937E0">
        <w:rPr>
          <w:color w:val="1A171B"/>
        </w:rPr>
        <w:t xml:space="preserve"> квот для мигрантов из Узбекистана, упрощени</w:t>
      </w:r>
      <w:r>
        <w:rPr>
          <w:color w:val="1A171B"/>
        </w:rPr>
        <w:t>е</w:t>
      </w:r>
      <w:r w:rsidRPr="00B937E0">
        <w:rPr>
          <w:color w:val="1A171B"/>
        </w:rPr>
        <w:t xml:space="preserve"> процедур их регистрации, </w:t>
      </w:r>
      <w:r w:rsidR="002631AA">
        <w:rPr>
          <w:color w:val="1A171B"/>
        </w:rPr>
        <w:t xml:space="preserve">получение </w:t>
      </w:r>
      <w:r w:rsidRPr="00B937E0">
        <w:rPr>
          <w:color w:val="1A171B"/>
        </w:rPr>
        <w:t>содействи</w:t>
      </w:r>
      <w:r w:rsidR="002631AA">
        <w:rPr>
          <w:color w:val="1A171B"/>
        </w:rPr>
        <w:t>я</w:t>
      </w:r>
      <w:r w:rsidRPr="00B937E0">
        <w:rPr>
          <w:color w:val="1A171B"/>
        </w:rPr>
        <w:t xml:space="preserve"> местных органов власти за рубежом в обеспечении жильем и защиты их прав</w:t>
      </w:r>
      <w:r w:rsidR="00627A96">
        <w:rPr>
          <w:color w:val="1A171B"/>
        </w:rPr>
        <w:t>;</w:t>
      </w:r>
    </w:p>
    <w:p w:rsidR="00627A96" w:rsidRPr="00627A96" w:rsidRDefault="00627A96" w:rsidP="00627A96">
      <w:pPr>
        <w:spacing w:before="120"/>
        <w:jc w:val="both"/>
      </w:pPr>
      <w:r>
        <w:t>- отказ от</w:t>
      </w:r>
      <w:r w:rsidRPr="00627A96">
        <w:t xml:space="preserve"> разрешительн</w:t>
      </w:r>
      <w:r>
        <w:t>ого</w:t>
      </w:r>
      <w:r w:rsidRPr="00627A96">
        <w:t xml:space="preserve"> порядк</w:t>
      </w:r>
      <w:r>
        <w:t>а</w:t>
      </w:r>
      <w:r w:rsidRPr="00627A96">
        <w:t xml:space="preserve"> внешней трудовой миграции</w:t>
      </w:r>
      <w:r>
        <w:rPr>
          <w:rStyle w:val="a5"/>
        </w:rPr>
        <w:footnoteReference w:id="34"/>
      </w:r>
      <w:r w:rsidRPr="00627A96">
        <w:t xml:space="preserve">. </w:t>
      </w:r>
    </w:p>
    <w:p w:rsidR="00B937E0" w:rsidRDefault="00B937E0" w:rsidP="00B5170B">
      <w:pPr>
        <w:spacing w:before="120"/>
        <w:jc w:val="both"/>
      </w:pPr>
    </w:p>
    <w:p w:rsidR="00B5170B" w:rsidRPr="00551C75" w:rsidRDefault="00B5170B" w:rsidP="00B5170B">
      <w:pPr>
        <w:spacing w:before="120"/>
        <w:jc w:val="center"/>
        <w:rPr>
          <w:b/>
        </w:rPr>
      </w:pPr>
      <w:r>
        <w:rPr>
          <w:b/>
        </w:rPr>
        <w:t>По разделу «</w:t>
      </w:r>
      <w:r w:rsidR="00CA14FF">
        <w:rPr>
          <w:b/>
        </w:rPr>
        <w:t>О</w:t>
      </w:r>
      <w:r w:rsidRPr="00551C75">
        <w:rPr>
          <w:b/>
        </w:rPr>
        <w:t xml:space="preserve">траслевая структура </w:t>
      </w:r>
      <w:r>
        <w:rPr>
          <w:b/>
        </w:rPr>
        <w:t>экономики»</w:t>
      </w:r>
    </w:p>
    <w:p w:rsidR="00B5170B" w:rsidRDefault="00B5170B" w:rsidP="00B5170B">
      <w:pPr>
        <w:spacing w:before="120"/>
        <w:jc w:val="both"/>
      </w:pPr>
      <w:r w:rsidRPr="004E6D6E">
        <w:t xml:space="preserve">1. Регионы с различным уровнем жизни специализируются </w:t>
      </w:r>
      <w:r>
        <w:t>в</w:t>
      </w:r>
      <w:r w:rsidRPr="004E6D6E">
        <w:t xml:space="preserve"> разных отраслях экономики. В частности существует прямая и четк</w:t>
      </w:r>
      <w:r>
        <w:t>ая</w:t>
      </w:r>
      <w:r w:rsidRPr="004E6D6E">
        <w:t xml:space="preserve"> связь между ЭИЧР и степенью развитости </w:t>
      </w:r>
      <w:r w:rsidRPr="004E6D6E">
        <w:rPr>
          <w:b/>
          <w:i/>
        </w:rPr>
        <w:t>промышленности</w:t>
      </w:r>
      <w:r w:rsidRPr="004E6D6E">
        <w:t xml:space="preserve"> в регионе (выраженная в таких показателях, как доля занятых в промышленности и доля промышленности в</w:t>
      </w:r>
      <w:r>
        <w:t xml:space="preserve"> ВРП). Зато в регионах с низким уровнем ЭИЧР выше доля таких отраслей как </w:t>
      </w:r>
      <w:r w:rsidRPr="0012073A">
        <w:rPr>
          <w:b/>
          <w:i/>
        </w:rPr>
        <w:t>сельское хозяйство, торговля и общественное питание, социальные услуги</w:t>
      </w:r>
      <w:r>
        <w:t xml:space="preserve"> (образование, здравоохранение и пр.).</w:t>
      </w:r>
    </w:p>
    <w:p w:rsidR="00B5170B" w:rsidRDefault="00B5170B" w:rsidP="00B5170B">
      <w:pPr>
        <w:spacing w:before="120"/>
        <w:jc w:val="both"/>
      </w:pPr>
      <w:r>
        <w:t xml:space="preserve">2. В столице промышленное производство диверсифицировано, наибольшую долю занимают </w:t>
      </w:r>
      <w:r w:rsidRPr="00142305">
        <w:t>машиностроени</w:t>
      </w:r>
      <w:r>
        <w:t>е</w:t>
      </w:r>
      <w:r w:rsidRPr="00142305">
        <w:t xml:space="preserve"> и пищев</w:t>
      </w:r>
      <w:r>
        <w:t>ая</w:t>
      </w:r>
      <w:r w:rsidRPr="00142305">
        <w:t xml:space="preserve"> промышленност</w:t>
      </w:r>
      <w:r>
        <w:t>ь. В д</w:t>
      </w:r>
      <w:r w:rsidRPr="007E09A4">
        <w:t xml:space="preserve">ругих регионах с высоким ЭИЧР доминируют </w:t>
      </w:r>
      <w:r w:rsidRPr="0012073A">
        <w:rPr>
          <w:b/>
          <w:i/>
        </w:rPr>
        <w:t>цветная и черная металлургия, машиностроение и металлообработк</w:t>
      </w:r>
      <w:r w:rsidR="00CD0E9A">
        <w:rPr>
          <w:b/>
          <w:i/>
        </w:rPr>
        <w:t>а</w:t>
      </w:r>
      <w:r w:rsidRPr="0012073A">
        <w:rPr>
          <w:b/>
          <w:i/>
        </w:rPr>
        <w:t>, химическая и нефтехимическая промышленность, промышленность строительных материалов</w:t>
      </w:r>
      <w:r w:rsidRPr="007E09A4">
        <w:t>. Именно занятость на предприятиях этих отраслей экономики (как правило, крупных</w:t>
      </w:r>
      <w:r>
        <w:t xml:space="preserve">, таких как Навоийский и Алмалыкский горно-металлургические комбинаты, </w:t>
      </w:r>
      <w:r w:rsidRPr="000922F7">
        <w:rPr>
          <w:sz w:val="22"/>
          <w:szCs w:val="22"/>
        </w:rPr>
        <w:t>автомобильный завод</w:t>
      </w:r>
      <w:r w:rsidR="00720CF3">
        <w:rPr>
          <w:sz w:val="22"/>
          <w:szCs w:val="22"/>
        </w:rPr>
        <w:t xml:space="preserve"> в г. Асака</w:t>
      </w:r>
      <w:r w:rsidRPr="007E09A4">
        <w:t xml:space="preserve">) и позволяет в значительной степени поддерживать более высокий уровень </w:t>
      </w:r>
      <w:r>
        <w:t xml:space="preserve">жизни </w:t>
      </w:r>
      <w:r w:rsidRPr="007E09A4">
        <w:t>населения этих регионов.</w:t>
      </w:r>
      <w:r>
        <w:t xml:space="preserve"> </w:t>
      </w:r>
    </w:p>
    <w:p w:rsidR="00B5170B" w:rsidRPr="0012073A" w:rsidRDefault="00B5170B" w:rsidP="00B5170B">
      <w:pPr>
        <w:spacing w:before="120"/>
        <w:jc w:val="both"/>
      </w:pPr>
      <w:r>
        <w:t>3. Регионы со сред</w:t>
      </w:r>
      <w:r w:rsidRPr="0012073A">
        <w:t xml:space="preserve">ним уровнем ЭИЧР специализируются преимущественно на отраслях промышленности по </w:t>
      </w:r>
      <w:r w:rsidRPr="006E7ECD">
        <w:rPr>
          <w:b/>
          <w:i/>
        </w:rPr>
        <w:t>переработке сельскохозяйственной продукции</w:t>
      </w:r>
      <w:r w:rsidRPr="0012073A">
        <w:t xml:space="preserve"> </w:t>
      </w:r>
      <w:r w:rsidRPr="006E7ECD">
        <w:t>(легкая и пищевая промышленность)</w:t>
      </w:r>
      <w:r w:rsidRPr="0012073A">
        <w:t xml:space="preserve"> и </w:t>
      </w:r>
      <w:r w:rsidRPr="0012073A">
        <w:rPr>
          <w:b/>
          <w:i/>
        </w:rPr>
        <w:t>производству строительных материалов</w:t>
      </w:r>
      <w:r w:rsidRPr="0012073A">
        <w:t>. Учитывая относительную трудоемкость этих отраслей, можно предположить, что они вносят важный вклад в уровень жизни населения регионов.</w:t>
      </w:r>
    </w:p>
    <w:p w:rsidR="00B5170B" w:rsidRPr="0012073A" w:rsidRDefault="00B5170B" w:rsidP="00B5170B">
      <w:pPr>
        <w:spacing w:before="120"/>
        <w:jc w:val="both"/>
      </w:pPr>
      <w:r w:rsidRPr="0012073A">
        <w:t xml:space="preserve">4. Другой важный фактор уровня жизни населения регионов с высоким и средним ЭИЧР лежит в плоскости специализации в растениеводстве. </w:t>
      </w:r>
      <w:r>
        <w:t>В э</w:t>
      </w:r>
      <w:r w:rsidRPr="0012073A">
        <w:t>ти</w:t>
      </w:r>
      <w:r>
        <w:t>х</w:t>
      </w:r>
      <w:r w:rsidRPr="0012073A">
        <w:t xml:space="preserve"> регион</w:t>
      </w:r>
      <w:r>
        <w:t>ах</w:t>
      </w:r>
      <w:r w:rsidRPr="0012073A">
        <w:t xml:space="preserve"> гораздо больш</w:t>
      </w:r>
      <w:r>
        <w:t xml:space="preserve">ая доля сельскохозяйственной продукции приходится на </w:t>
      </w:r>
      <w:r w:rsidRPr="0012073A">
        <w:rPr>
          <w:b/>
          <w:i/>
        </w:rPr>
        <w:t>продукци</w:t>
      </w:r>
      <w:r>
        <w:rPr>
          <w:b/>
          <w:i/>
        </w:rPr>
        <w:t>ю</w:t>
      </w:r>
      <w:r w:rsidRPr="0012073A">
        <w:rPr>
          <w:b/>
          <w:i/>
        </w:rPr>
        <w:t xml:space="preserve"> культур, свободных от государственного заказа</w:t>
      </w:r>
      <w:r w:rsidRPr="0012073A">
        <w:t>.</w:t>
      </w:r>
    </w:p>
    <w:p w:rsidR="00B5170B" w:rsidRDefault="00B5170B" w:rsidP="00B5170B">
      <w:pPr>
        <w:spacing w:before="120"/>
        <w:jc w:val="both"/>
      </w:pPr>
      <w:r w:rsidRPr="0012073A">
        <w:t>5.</w:t>
      </w:r>
      <w:r>
        <w:t xml:space="preserve"> Р</w:t>
      </w:r>
      <w:r w:rsidRPr="0012073A">
        <w:t xml:space="preserve">егионы с низким уровнем ЭИЧР </w:t>
      </w:r>
      <w:r>
        <w:t>специализируются преимущественно</w:t>
      </w:r>
      <w:r w:rsidRPr="0012073A">
        <w:t xml:space="preserve"> на </w:t>
      </w:r>
      <w:r w:rsidRPr="0012073A">
        <w:rPr>
          <w:b/>
          <w:i/>
        </w:rPr>
        <w:t>топливной промышленности и электроэнергетике, производстве сельскохозяйственных культур, выращиваемых по государственному заказу</w:t>
      </w:r>
      <w:r w:rsidRPr="0012073A">
        <w:t xml:space="preserve">. </w:t>
      </w:r>
      <w:r>
        <w:t>Соответственно, можно сделать вывод, что специализация на данных отраслях экономики не способствует генерации высоких доходов на местном уровне. Это в значительной степени обусловлено тем, что значительная часть доходов этих отраслей перераспределяется государством.</w:t>
      </w:r>
      <w:r w:rsidR="00A302CC">
        <w:t xml:space="preserve"> Следовательно, либерализация данных секторов экономики способна повысить экономических потенциал прежде всего регионов с низким уровнем ЭИЧР.</w:t>
      </w:r>
    </w:p>
    <w:p w:rsidR="00B5170B" w:rsidRDefault="00B5170B" w:rsidP="00B5170B">
      <w:pPr>
        <w:spacing w:before="120"/>
        <w:jc w:val="both"/>
      </w:pPr>
      <w:r>
        <w:t xml:space="preserve">6. Эффективная аграрная специализация регионов ограничивается </w:t>
      </w:r>
      <w:r w:rsidRPr="00FA35EA">
        <w:t xml:space="preserve">существующими нормативами </w:t>
      </w:r>
      <w:r w:rsidRPr="003E3EF2">
        <w:rPr>
          <w:b/>
          <w:i/>
        </w:rPr>
        <w:t>обязательного распределения земель под хлопчатник и зерновые</w:t>
      </w:r>
      <w:r w:rsidRPr="00FA35EA">
        <w:t xml:space="preserve">. </w:t>
      </w:r>
      <w:r>
        <w:t>Это обстоятельство не позволяет регионам в полной мере использовать свои естественные (связанные с природными особенностями, квалификацией и накопленным опытом рабочей силы) преимущества.</w:t>
      </w:r>
    </w:p>
    <w:p w:rsidR="00B5170B" w:rsidRDefault="00B5170B" w:rsidP="00B5170B">
      <w:pPr>
        <w:spacing w:before="120"/>
        <w:jc w:val="both"/>
      </w:pPr>
      <w:r>
        <w:t xml:space="preserve">7. Пример Ташкента показывает также, что хорошую способность генерировать доходы населения имеют </w:t>
      </w:r>
      <w:r w:rsidRPr="00251EC8">
        <w:rPr>
          <w:b/>
          <w:i/>
        </w:rPr>
        <w:t xml:space="preserve">строительство, транспорт, связь, телекоммуникации, прочие </w:t>
      </w:r>
      <w:r w:rsidRPr="00251EC8">
        <w:rPr>
          <w:b/>
          <w:i/>
        </w:rPr>
        <w:lastRenderedPageBreak/>
        <w:t>платные услуги населению</w:t>
      </w:r>
      <w:r>
        <w:t>. Иными словами, развитие этих секторов экономики в регионах также будет способствовать повышению уровня жизни населения.</w:t>
      </w:r>
    </w:p>
    <w:p w:rsidR="00B5170B" w:rsidRDefault="00B5170B" w:rsidP="00B5170B">
      <w:pPr>
        <w:spacing w:before="120"/>
        <w:jc w:val="both"/>
      </w:pPr>
      <w:r w:rsidRPr="0074323B">
        <w:t xml:space="preserve">8. </w:t>
      </w:r>
      <w:r w:rsidRPr="0074323B">
        <w:rPr>
          <w:b/>
          <w:i/>
        </w:rPr>
        <w:t>Ориентация на экспорт</w:t>
      </w:r>
      <w:r w:rsidRPr="0074323B">
        <w:t xml:space="preserve">, прежде всего на экспорт промышленных товаров с высокой долей добавленной стоимости, а также </w:t>
      </w:r>
      <w:r>
        <w:t xml:space="preserve">на </w:t>
      </w:r>
      <w:r w:rsidRPr="0074323B">
        <w:t xml:space="preserve">экспорт услуг, также способствует росту уровня жизни. </w:t>
      </w:r>
      <w:r w:rsidR="00215F15">
        <w:t xml:space="preserve">Между тем, до сих пор сохраняются </w:t>
      </w:r>
      <w:r w:rsidR="00A42F68">
        <w:t>барьеры на пути осуществления эксп</w:t>
      </w:r>
      <w:r w:rsidR="00F24A8B">
        <w:t>о</w:t>
      </w:r>
      <w:r w:rsidR="00A42F68">
        <w:t>ртной деятельности.</w:t>
      </w:r>
    </w:p>
    <w:p w:rsidR="00B5170B" w:rsidRDefault="00B5170B" w:rsidP="00B5170B">
      <w:pPr>
        <w:spacing w:before="120"/>
        <w:jc w:val="both"/>
      </w:pPr>
      <w:r>
        <w:t xml:space="preserve">В этой связи </w:t>
      </w:r>
      <w:r w:rsidR="00306224">
        <w:t>весьма актуальными для повышения уровня жизни населения регионов Узбекистана являются:</w:t>
      </w:r>
    </w:p>
    <w:p w:rsidR="00B5170B" w:rsidRDefault="00B5170B" w:rsidP="00B5170B">
      <w:pPr>
        <w:spacing w:before="120"/>
        <w:jc w:val="both"/>
      </w:pPr>
      <w:r>
        <w:t>- стимулирование развития трудоемких видов производства</w:t>
      </w:r>
      <w:r w:rsidR="00835C40">
        <w:t>,</w:t>
      </w:r>
      <w:r>
        <w:t xml:space="preserve"> производств с высокой долей добавленной стоимости</w:t>
      </w:r>
      <w:r w:rsidR="00835C40">
        <w:t>, экспортоориентированных производств</w:t>
      </w:r>
      <w:r>
        <w:t>;</w:t>
      </w:r>
    </w:p>
    <w:p w:rsidR="00B5170B" w:rsidRDefault="00B5170B" w:rsidP="00B5170B">
      <w:pPr>
        <w:spacing w:before="120"/>
        <w:jc w:val="both"/>
      </w:pPr>
      <w:r>
        <w:t xml:space="preserve">- либерализация сферы производства хлопка-волокна и зерновых посредством отказа от квотирования земельных участков под хлопчатник и зерновые, поэтапное сокращение плановых заданий по продаже хлопка и зерновых с перспективой от полного отказа обязательного государственного заказа (как это произошло в 1990-е гг. </w:t>
      </w:r>
      <w:r w:rsidR="00C65DCE">
        <w:t>с</w:t>
      </w:r>
      <w:r w:rsidR="00835C40">
        <w:t xml:space="preserve"> другими </w:t>
      </w:r>
      <w:r w:rsidR="00306224">
        <w:t xml:space="preserve">сельскохозяйственными </w:t>
      </w:r>
      <w:r w:rsidR="00835C40">
        <w:t>культурами)</w:t>
      </w:r>
      <w:r w:rsidR="00A42F68">
        <w:t>;</w:t>
      </w:r>
    </w:p>
    <w:p w:rsidR="00A42F68" w:rsidRPr="004E6D6E" w:rsidRDefault="00A42F68" w:rsidP="00A42F68">
      <w:pPr>
        <w:autoSpaceDE w:val="0"/>
        <w:autoSpaceDN w:val="0"/>
        <w:adjustRightInd w:val="0"/>
        <w:spacing w:before="120"/>
        <w:jc w:val="both"/>
      </w:pPr>
      <w:r w:rsidRPr="004E6D6E">
        <w:rPr>
          <w:color w:val="000000"/>
        </w:rPr>
        <w:t xml:space="preserve">- </w:t>
      </w:r>
      <w:r w:rsidR="00306224">
        <w:rPr>
          <w:color w:val="000000"/>
        </w:rPr>
        <w:t xml:space="preserve">принятие дополнительных мер по </w:t>
      </w:r>
      <w:r>
        <w:rPr>
          <w:color w:val="000000"/>
        </w:rPr>
        <w:t>устранени</w:t>
      </w:r>
      <w:r w:rsidR="00306224">
        <w:rPr>
          <w:color w:val="000000"/>
        </w:rPr>
        <w:t>ю</w:t>
      </w:r>
      <w:r>
        <w:rPr>
          <w:color w:val="000000"/>
        </w:rPr>
        <w:t xml:space="preserve"> барьеров на пути экспортной </w:t>
      </w:r>
      <w:r w:rsidRPr="005E550D">
        <w:rPr>
          <w:color w:val="000000"/>
        </w:rPr>
        <w:t xml:space="preserve">деятельности (отказ от требования </w:t>
      </w:r>
      <w:r w:rsidRPr="005E550D">
        <w:rPr>
          <w:color w:val="000000"/>
          <w:spacing w:val="-1"/>
        </w:rPr>
        <w:t>100% предоплаты по экспортным контрактам, от санкций за несвоевременное поступление оплаты по экспортным контрактам</w:t>
      </w:r>
      <w:r w:rsidR="006004C9" w:rsidRPr="005E550D">
        <w:rPr>
          <w:color w:val="000000"/>
          <w:spacing w:val="-1"/>
        </w:rPr>
        <w:t xml:space="preserve">, </w:t>
      </w:r>
      <w:r w:rsidR="00D32E98">
        <w:rPr>
          <w:color w:val="000000"/>
          <w:spacing w:val="-1"/>
        </w:rPr>
        <w:t xml:space="preserve">поэтапное сокращение доли обязательной продажи валютной выручки </w:t>
      </w:r>
      <w:r w:rsidR="00030B00">
        <w:rPr>
          <w:color w:val="000000"/>
          <w:spacing w:val="-1"/>
        </w:rPr>
        <w:t xml:space="preserve">по нецентрализованному экспорту, </w:t>
      </w:r>
      <w:r w:rsidR="006004C9" w:rsidRPr="005E550D">
        <w:rPr>
          <w:color w:val="000000"/>
          <w:spacing w:val="-1"/>
        </w:rPr>
        <w:t>девальвация завышенного официального обменного курса сума</w:t>
      </w:r>
      <w:r w:rsidRPr="005E550D">
        <w:rPr>
          <w:color w:val="000000"/>
          <w:spacing w:val="-1"/>
        </w:rPr>
        <w:t xml:space="preserve"> и пр.)</w:t>
      </w:r>
      <w:r w:rsidRPr="005E550D">
        <w:t>.</w:t>
      </w:r>
    </w:p>
    <w:p w:rsidR="003F5AC7" w:rsidRPr="00494A0F" w:rsidRDefault="003F5AC7" w:rsidP="00494A0F">
      <w:pPr>
        <w:spacing w:before="120"/>
        <w:jc w:val="both"/>
        <w:rPr>
          <w:b/>
          <w:sz w:val="22"/>
          <w:szCs w:val="22"/>
        </w:rPr>
      </w:pPr>
    </w:p>
    <w:p w:rsidR="00BC0579" w:rsidRDefault="00BC0579" w:rsidP="00BC0579">
      <w:pPr>
        <w:spacing w:before="120"/>
        <w:jc w:val="center"/>
        <w:rPr>
          <w:b/>
        </w:rPr>
      </w:pPr>
      <w:r>
        <w:rPr>
          <w:b/>
        </w:rPr>
        <w:t>По разделу «</w:t>
      </w:r>
      <w:r w:rsidR="00CA14FF">
        <w:rPr>
          <w:b/>
        </w:rPr>
        <w:t>Д</w:t>
      </w:r>
      <w:r>
        <w:rPr>
          <w:b/>
        </w:rPr>
        <w:t>оступ к капиталу и инвестиционный климат»</w:t>
      </w:r>
    </w:p>
    <w:p w:rsidR="003D2B87" w:rsidRDefault="003D2B87" w:rsidP="003D2B87">
      <w:pPr>
        <w:spacing w:before="120"/>
        <w:jc w:val="both"/>
        <w:rPr>
          <w:b/>
        </w:rPr>
      </w:pPr>
      <w:r w:rsidRPr="00FB6305">
        <w:t>1. Уровень материального благосостояния жителей регионов напрямую завис</w:t>
      </w:r>
      <w:r w:rsidR="00461C14">
        <w:t>и</w:t>
      </w:r>
      <w:r w:rsidRPr="00FB6305">
        <w:t xml:space="preserve">т от </w:t>
      </w:r>
      <w:r w:rsidRPr="00FB6305">
        <w:rPr>
          <w:b/>
          <w:i/>
        </w:rPr>
        <w:t>размеров накопленного физического капитала и инвестиционной активности частного сектора</w:t>
      </w:r>
      <w:r w:rsidRPr="00FB6305">
        <w:t xml:space="preserve">. Между тем размеры накопленного физического капитала и объемы инвестиций в основной капитал существенно различаются по регионам. </w:t>
      </w:r>
      <w:r>
        <w:t>Э</w:t>
      </w:r>
      <w:r w:rsidRPr="00FB6305">
        <w:t>то связанно с отраслевой структурой экономики</w:t>
      </w:r>
      <w:r>
        <w:t xml:space="preserve"> (о</w:t>
      </w:r>
      <w:r w:rsidRPr="00FB6305">
        <w:t>сновные инвестиции идут в промышленно</w:t>
      </w:r>
      <w:r>
        <w:t xml:space="preserve"> развитые регионы) и различиями в состоянии </w:t>
      </w:r>
      <w:r w:rsidRPr="00FB6305">
        <w:t xml:space="preserve">инвестиционного климата регионов. </w:t>
      </w:r>
    </w:p>
    <w:p w:rsidR="00972023" w:rsidRDefault="003D2B87" w:rsidP="00972023">
      <w:pPr>
        <w:spacing w:before="120"/>
        <w:jc w:val="both"/>
      </w:pPr>
      <w:r>
        <w:t xml:space="preserve">2. </w:t>
      </w:r>
      <w:r w:rsidR="00972023">
        <w:t>В этой связи очень важно</w:t>
      </w:r>
      <w:r w:rsidR="006004C9">
        <w:t xml:space="preserve"> обратить особое</w:t>
      </w:r>
      <w:r w:rsidR="00972023">
        <w:t xml:space="preserve"> внимание на совершенствовании инвестиционного климата как в стране в целом, так и на уровне отдельных регионов</w:t>
      </w:r>
      <w:r w:rsidR="006004C9">
        <w:t>, в том числе и по таким вопросам, как:</w:t>
      </w:r>
    </w:p>
    <w:p w:rsidR="003D2B87" w:rsidRPr="00FB6305" w:rsidRDefault="003D2B87" w:rsidP="003D2B87">
      <w:pPr>
        <w:spacing w:before="120"/>
        <w:jc w:val="both"/>
        <w:rPr>
          <w:b/>
          <w:i/>
        </w:rPr>
      </w:pPr>
      <w:r w:rsidRPr="00FB6305">
        <w:rPr>
          <w:b/>
          <w:i/>
        </w:rPr>
        <w:t xml:space="preserve">- </w:t>
      </w:r>
      <w:r w:rsidR="00972023">
        <w:rPr>
          <w:b/>
          <w:i/>
        </w:rPr>
        <w:t>совершенствовани</w:t>
      </w:r>
      <w:r w:rsidR="006004C9">
        <w:rPr>
          <w:b/>
          <w:i/>
        </w:rPr>
        <w:t>е</w:t>
      </w:r>
      <w:r w:rsidR="00972023">
        <w:rPr>
          <w:b/>
          <w:i/>
        </w:rPr>
        <w:t xml:space="preserve"> </w:t>
      </w:r>
      <w:r w:rsidR="00B6758D">
        <w:rPr>
          <w:b/>
          <w:i/>
        </w:rPr>
        <w:t>нормативно-правовой базы</w:t>
      </w:r>
      <w:r w:rsidRPr="00FB6305">
        <w:rPr>
          <w:b/>
          <w:i/>
        </w:rPr>
        <w:t>, регулирующе</w:t>
      </w:r>
      <w:r w:rsidR="00B6758D">
        <w:rPr>
          <w:b/>
          <w:i/>
        </w:rPr>
        <w:t>й</w:t>
      </w:r>
      <w:r w:rsidRPr="00FB6305">
        <w:rPr>
          <w:b/>
          <w:i/>
        </w:rPr>
        <w:t xml:space="preserve"> предпринимательскую деятельность</w:t>
      </w:r>
      <w:r w:rsidR="00972023">
        <w:rPr>
          <w:b/>
          <w:i/>
        </w:rPr>
        <w:t>, устранени</w:t>
      </w:r>
      <w:r w:rsidR="006004C9">
        <w:rPr>
          <w:b/>
          <w:i/>
        </w:rPr>
        <w:t>е</w:t>
      </w:r>
      <w:r w:rsidR="00972023">
        <w:rPr>
          <w:b/>
          <w:i/>
        </w:rPr>
        <w:t xml:space="preserve"> неоправданных запретов и ограничений ведения бизнеса</w:t>
      </w:r>
      <w:r w:rsidRPr="00FB6305">
        <w:rPr>
          <w:b/>
          <w:i/>
        </w:rPr>
        <w:t>;</w:t>
      </w:r>
    </w:p>
    <w:p w:rsidR="00B6758D" w:rsidRDefault="00B6758D" w:rsidP="00B6758D">
      <w:pPr>
        <w:spacing w:before="120"/>
        <w:jc w:val="both"/>
        <w:rPr>
          <w:b/>
          <w:i/>
        </w:rPr>
      </w:pPr>
      <w:r>
        <w:rPr>
          <w:b/>
          <w:i/>
        </w:rPr>
        <w:t>- повышени</w:t>
      </w:r>
      <w:r w:rsidR="006004C9">
        <w:rPr>
          <w:b/>
          <w:i/>
        </w:rPr>
        <w:t>е</w:t>
      </w:r>
      <w:r>
        <w:rPr>
          <w:b/>
          <w:i/>
        </w:rPr>
        <w:t xml:space="preserve"> уровня коммерциализации банковской системы и дол</w:t>
      </w:r>
      <w:r w:rsidR="006004C9">
        <w:rPr>
          <w:b/>
          <w:i/>
        </w:rPr>
        <w:t>и</w:t>
      </w:r>
      <w:r>
        <w:rPr>
          <w:b/>
          <w:i/>
        </w:rPr>
        <w:t xml:space="preserve"> банковских кредитов в источниках финансирования инвестиций;</w:t>
      </w:r>
    </w:p>
    <w:p w:rsidR="009B6AC0" w:rsidRDefault="00972023" w:rsidP="00972023">
      <w:pPr>
        <w:spacing w:before="120"/>
        <w:jc w:val="both"/>
      </w:pPr>
      <w:r w:rsidRPr="003D2B87">
        <w:rPr>
          <w:b/>
          <w:i/>
        </w:rPr>
        <w:t xml:space="preserve">- </w:t>
      </w:r>
      <w:r>
        <w:rPr>
          <w:b/>
          <w:i/>
        </w:rPr>
        <w:t>решени</w:t>
      </w:r>
      <w:r w:rsidR="006004C9">
        <w:rPr>
          <w:b/>
          <w:i/>
        </w:rPr>
        <w:t>е</w:t>
      </w:r>
      <w:r>
        <w:rPr>
          <w:b/>
          <w:i/>
        </w:rPr>
        <w:t xml:space="preserve"> проблем </w:t>
      </w:r>
      <w:r w:rsidRPr="003D2B87">
        <w:rPr>
          <w:b/>
          <w:i/>
        </w:rPr>
        <w:t>отключени</w:t>
      </w:r>
      <w:r>
        <w:rPr>
          <w:b/>
          <w:i/>
        </w:rPr>
        <w:t>й</w:t>
      </w:r>
      <w:r w:rsidRPr="003D2B87">
        <w:rPr>
          <w:b/>
          <w:i/>
        </w:rPr>
        <w:t xml:space="preserve"> или отсутствия доступа к газу, воде</w:t>
      </w:r>
      <w:r w:rsidR="007B43AE">
        <w:rPr>
          <w:b/>
          <w:i/>
        </w:rPr>
        <w:t>,</w:t>
      </w:r>
      <w:r w:rsidRPr="003D2B87">
        <w:rPr>
          <w:b/>
          <w:i/>
        </w:rPr>
        <w:t xml:space="preserve"> электричеству</w:t>
      </w:r>
      <w:r w:rsidRPr="003D2B87">
        <w:t>.</w:t>
      </w:r>
    </w:p>
    <w:p w:rsidR="00972023" w:rsidRDefault="00972023" w:rsidP="00972023">
      <w:pPr>
        <w:spacing w:before="120"/>
        <w:jc w:val="both"/>
        <w:rPr>
          <w:b/>
        </w:rPr>
      </w:pPr>
    </w:p>
    <w:sectPr w:rsidR="00972023" w:rsidSect="006231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1E" w:rsidRDefault="002F581E" w:rsidP="002E2934">
      <w:r>
        <w:separator/>
      </w:r>
    </w:p>
  </w:endnote>
  <w:endnote w:type="continuationSeparator" w:id="1">
    <w:p w:rsidR="002F581E" w:rsidRDefault="002F581E" w:rsidP="002E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PDABN+Arial">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1892"/>
      <w:docPartObj>
        <w:docPartGallery w:val="Page Numbers (Bottom of Page)"/>
        <w:docPartUnique/>
      </w:docPartObj>
    </w:sdtPr>
    <w:sdtContent>
      <w:p w:rsidR="009C2FD5" w:rsidRDefault="00737976">
        <w:pPr>
          <w:pStyle w:val="ac"/>
          <w:jc w:val="right"/>
        </w:pPr>
        <w:fldSimple w:instr=" PAGE   \* MERGEFORMAT ">
          <w:r w:rsidR="009F75BA">
            <w:rPr>
              <w:noProof/>
            </w:rPr>
            <w:t>6</w:t>
          </w:r>
        </w:fldSimple>
      </w:p>
    </w:sdtContent>
  </w:sdt>
  <w:p w:rsidR="009C2FD5" w:rsidRDefault="009C2F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1E" w:rsidRDefault="002F581E" w:rsidP="002E2934">
      <w:r>
        <w:separator/>
      </w:r>
    </w:p>
  </w:footnote>
  <w:footnote w:type="continuationSeparator" w:id="1">
    <w:p w:rsidR="002F581E" w:rsidRDefault="002F581E" w:rsidP="002E2934">
      <w:r>
        <w:continuationSeparator/>
      </w:r>
    </w:p>
  </w:footnote>
  <w:footnote w:id="2">
    <w:p w:rsidR="009C2FD5" w:rsidRDefault="009C2FD5">
      <w:pPr>
        <w:pStyle w:val="a3"/>
      </w:pPr>
      <w:r>
        <w:rPr>
          <w:rStyle w:val="a5"/>
        </w:rPr>
        <w:footnoteRef/>
      </w:r>
      <w:r>
        <w:t xml:space="preserve"> В частности авторам Доклада не удалось получить доступа к данным опросов бюджетов домохозяйств, проводимых Госкомстатом РУз за 2004-2009 гг., которые бы позволили оценить натуральное потребление домашних хозяйств.</w:t>
      </w:r>
    </w:p>
  </w:footnote>
  <w:footnote w:id="3">
    <w:p w:rsidR="009C2FD5" w:rsidRPr="005146E1" w:rsidRDefault="009C2FD5" w:rsidP="008A7AC9">
      <w:pPr>
        <w:pStyle w:val="a3"/>
      </w:pPr>
      <w:r>
        <w:rPr>
          <w:rStyle w:val="a5"/>
        </w:rPr>
        <w:footnoteRef/>
      </w:r>
      <w:r w:rsidRPr="00CD2BFE">
        <w:t xml:space="preserve"> </w:t>
      </w:r>
      <w:r>
        <w:t>Женщины и мужчины Узбекистана. Статистический сборник. Ташкент, 2010. с.157.</w:t>
      </w:r>
    </w:p>
  </w:footnote>
  <w:footnote w:id="4">
    <w:p w:rsidR="009C2FD5" w:rsidRPr="00824107" w:rsidRDefault="009C2FD5" w:rsidP="008A7AC9">
      <w:pPr>
        <w:pStyle w:val="a3"/>
      </w:pPr>
      <w:r>
        <w:rPr>
          <w:rStyle w:val="a5"/>
        </w:rPr>
        <w:footnoteRef/>
      </w:r>
      <w:r w:rsidRPr="00824107">
        <w:t xml:space="preserve"> </w:t>
      </w:r>
      <w:r>
        <w:t>По обследованию бюджета времени, женщины затрачивают в 4 раза больше времени на работу по дому и уходу за членами семьи – см.: Женщины и мужчины Узбекистана. Статистический сборник. 2000-2005. Ташкент, 2007. с.129.</w:t>
      </w:r>
    </w:p>
  </w:footnote>
  <w:footnote w:id="5">
    <w:p w:rsidR="009C2FD5" w:rsidRPr="00910018" w:rsidRDefault="009C2FD5" w:rsidP="00830A3D">
      <w:pPr>
        <w:pStyle w:val="a3"/>
      </w:pPr>
      <w:r w:rsidRPr="00910018">
        <w:rPr>
          <w:rStyle w:val="a5"/>
        </w:rPr>
        <w:footnoteRef/>
      </w:r>
      <w:r w:rsidRPr="00910018">
        <w:t xml:space="preserve"> См.</w:t>
      </w:r>
      <w:r>
        <w:t>, к примеру</w:t>
      </w:r>
      <w:r w:rsidRPr="00910018">
        <w:t>: Трансакционные издержки налогообложения. Доклад Центра экономических исследований. Ташк</w:t>
      </w:r>
      <w:r>
        <w:t xml:space="preserve">ент, 2002; </w:t>
      </w:r>
      <w:r w:rsidRPr="00910018">
        <w:t>Аналитический доклад «Совершенствование инвестиционной политики: микроэкономические условия и предпосылки активизации частных инвестиций в Узбекистане», Ташкент, 2008; Аналитическая записка «</w:t>
      </w:r>
      <w:r w:rsidRPr="00910018">
        <w:rPr>
          <w:rFonts w:eastAsiaTheme="minorHAnsi"/>
          <w:bCs/>
          <w:lang w:eastAsia="en-US"/>
        </w:rPr>
        <w:t>Потенциал роста малого бизнеса в Узбекистане: барьеры и возможности». Издание ПРООН, Ташкент, 2009</w:t>
      </w:r>
      <w:r w:rsidRPr="00910018">
        <w:t>.</w:t>
      </w:r>
    </w:p>
  </w:footnote>
  <w:footnote w:id="6">
    <w:p w:rsidR="009C2FD5" w:rsidRPr="00910018" w:rsidRDefault="009C2FD5" w:rsidP="003B65A8">
      <w:pPr>
        <w:pStyle w:val="a3"/>
      </w:pPr>
      <w:r w:rsidRPr="00910018">
        <w:rPr>
          <w:rStyle w:val="a5"/>
        </w:rPr>
        <w:footnoteRef/>
      </w:r>
      <w:r w:rsidRPr="00910018">
        <w:t xml:space="preserve"> См.: А. Илларионов, Н. Пивоварова. Размеры государства и экономический рост. / Вопросы экономики, 2002, </w:t>
      </w:r>
      <w:r w:rsidRPr="00910018">
        <w:rPr>
          <w:lang w:val="en-US"/>
        </w:rPr>
        <w:t>N</w:t>
      </w:r>
      <w:r w:rsidRPr="00910018">
        <w:t xml:space="preserve"> 9, стр. 40-41.</w:t>
      </w:r>
    </w:p>
  </w:footnote>
  <w:footnote w:id="7">
    <w:p w:rsidR="009C2FD5" w:rsidRPr="00910018" w:rsidRDefault="009C2FD5" w:rsidP="00983D8F">
      <w:pPr>
        <w:pStyle w:val="a3"/>
      </w:pPr>
      <w:r w:rsidRPr="00910018">
        <w:rPr>
          <w:rStyle w:val="a5"/>
        </w:rPr>
        <w:footnoteRef/>
      </w:r>
      <w:r w:rsidRPr="00910018">
        <w:t xml:space="preserve"> См.: Трансакционные издержки налогообложения. Доклад Центра экономических исследований. Ташкент, 2002.</w:t>
      </w:r>
    </w:p>
  </w:footnote>
  <w:footnote w:id="8">
    <w:p w:rsidR="009C2FD5" w:rsidRDefault="009C2FD5">
      <w:pPr>
        <w:pStyle w:val="a3"/>
      </w:pPr>
      <w:r>
        <w:rPr>
          <w:rStyle w:val="a5"/>
        </w:rPr>
        <w:footnoteRef/>
      </w:r>
      <w:r>
        <w:t xml:space="preserve"> Расчеты по состоянию на июнь 2010 г.</w:t>
      </w:r>
    </w:p>
  </w:footnote>
  <w:footnote w:id="9">
    <w:p w:rsidR="009C2FD5" w:rsidRPr="00910018" w:rsidRDefault="009C2FD5" w:rsidP="00ED3134">
      <w:pPr>
        <w:rPr>
          <w:sz w:val="20"/>
          <w:szCs w:val="20"/>
        </w:rPr>
      </w:pPr>
      <w:r w:rsidRPr="00910018">
        <w:rPr>
          <w:rStyle w:val="a5"/>
          <w:sz w:val="20"/>
          <w:szCs w:val="20"/>
        </w:rPr>
        <w:footnoteRef/>
      </w:r>
      <w:r w:rsidRPr="00910018">
        <w:rPr>
          <w:sz w:val="20"/>
          <w:szCs w:val="20"/>
        </w:rPr>
        <w:t xml:space="preserve"> Согласно Постановления КМ РУз от 11.10.2003 г. N 439 классификация предприятий и организаций, относящихся к субъектам малого предпринимательства строится на количестве занятых на предприятии. Причем предельный размер численности работников зависит от отрасли экономики и не превышает 25, 50 или 100 человек.</w:t>
      </w:r>
    </w:p>
  </w:footnote>
  <w:footnote w:id="10">
    <w:p w:rsidR="009C2FD5" w:rsidRDefault="009C2FD5" w:rsidP="00EA00D3">
      <w:pPr>
        <w:pStyle w:val="a3"/>
      </w:pPr>
      <w:r>
        <w:rPr>
          <w:rStyle w:val="a5"/>
        </w:rPr>
        <w:footnoteRef/>
      </w:r>
      <w:r>
        <w:t xml:space="preserve"> См.: Расходы субъектов предпринимательства Узбекистана на налоговое администрирование и отчетность. Отчет Международной финансовой корпорации, 2010, с. 7. </w:t>
      </w:r>
    </w:p>
  </w:footnote>
  <w:footnote w:id="11">
    <w:p w:rsidR="009C2FD5" w:rsidRPr="00910018" w:rsidRDefault="009C2FD5" w:rsidP="00574A2D">
      <w:pPr>
        <w:pStyle w:val="a3"/>
      </w:pPr>
      <w:r w:rsidRPr="00910018">
        <w:rPr>
          <w:rStyle w:val="a5"/>
        </w:rPr>
        <w:footnoteRef/>
      </w:r>
      <w:r w:rsidRPr="00910018">
        <w:t xml:space="preserve"> Данная иллюстрация показывает различия в производительности между регионами по каждой отрасли, но не предполагает сравнение производительности между отраслями, так как такое сравнение некорректно в силу межотраслевых различий по структур</w:t>
      </w:r>
      <w:r>
        <w:t>е</w:t>
      </w:r>
      <w:r w:rsidRPr="00910018">
        <w:t xml:space="preserve"> затрат, способ</w:t>
      </w:r>
      <w:r>
        <w:t>ам</w:t>
      </w:r>
      <w:r w:rsidRPr="00910018">
        <w:t xml:space="preserve"> ценообразования и пр.</w:t>
      </w:r>
    </w:p>
  </w:footnote>
  <w:footnote w:id="12">
    <w:p w:rsidR="009C2FD5" w:rsidRPr="001E0A31" w:rsidRDefault="009C2FD5" w:rsidP="009A5A38">
      <w:pPr>
        <w:pStyle w:val="a3"/>
      </w:pPr>
      <w:r w:rsidRPr="00910018">
        <w:rPr>
          <w:rStyle w:val="a5"/>
        </w:rPr>
        <w:footnoteRef/>
      </w:r>
      <w:r w:rsidRPr="00910018">
        <w:t xml:space="preserve"> Раздел подготовлен преимущественно на основе книги «Трудовая миграция в Республике Узбекистан: социальные, правовые и гендерные аспекты». Изда</w:t>
      </w:r>
      <w:r w:rsidRPr="001E0A31">
        <w:t xml:space="preserve">ние ПРООН, Ташкент, </w:t>
      </w:r>
      <w:smartTag w:uri="urn:schemas-microsoft-com:office:smarttags" w:element="metricconverter">
        <w:smartTagPr>
          <w:attr w:name="ProductID" w:val="2008 г"/>
        </w:smartTagPr>
        <w:r w:rsidRPr="001E0A31">
          <w:t>2008 г</w:t>
        </w:r>
      </w:smartTag>
      <w:r w:rsidRPr="001E0A31">
        <w:t>.</w:t>
      </w:r>
    </w:p>
  </w:footnote>
  <w:footnote w:id="13">
    <w:p w:rsidR="009C2FD5" w:rsidRPr="00910018" w:rsidRDefault="009C2FD5" w:rsidP="009A5A38">
      <w:pPr>
        <w:rPr>
          <w:sz w:val="20"/>
          <w:szCs w:val="20"/>
        </w:rPr>
      </w:pPr>
      <w:r w:rsidRPr="001E0A31">
        <w:rPr>
          <w:rStyle w:val="a5"/>
          <w:sz w:val="20"/>
          <w:szCs w:val="20"/>
        </w:rPr>
        <w:footnoteRef/>
      </w:r>
      <w:r w:rsidRPr="001E0A31">
        <w:rPr>
          <w:sz w:val="20"/>
          <w:szCs w:val="20"/>
        </w:rPr>
        <w:t xml:space="preserve"> Как сообщил глава Федеральной миграционной службы РФ, в Росси работают 2 млн. граждан Узбекистана – см. </w:t>
      </w:r>
      <w:hyperlink r:id="rId1" w:history="1">
        <w:r w:rsidRPr="001E0A31">
          <w:rPr>
            <w:rStyle w:val="af0"/>
            <w:sz w:val="20"/>
            <w:szCs w:val="20"/>
            <w:lang w:val="en-US"/>
          </w:rPr>
          <w:t>http</w:t>
        </w:r>
        <w:r w:rsidRPr="001E0A31">
          <w:rPr>
            <w:rStyle w:val="af0"/>
            <w:sz w:val="20"/>
            <w:szCs w:val="20"/>
          </w:rPr>
          <w:t>://</w:t>
        </w:r>
        <w:r w:rsidRPr="001E0A31">
          <w:rPr>
            <w:rStyle w:val="af0"/>
            <w:sz w:val="20"/>
            <w:szCs w:val="20"/>
            <w:lang w:val="en-US"/>
          </w:rPr>
          <w:t>korrespondent</w:t>
        </w:r>
        <w:r w:rsidRPr="001E0A31">
          <w:rPr>
            <w:rStyle w:val="af0"/>
            <w:sz w:val="20"/>
            <w:szCs w:val="20"/>
          </w:rPr>
          <w:t>.</w:t>
        </w:r>
        <w:r w:rsidRPr="001E0A31">
          <w:rPr>
            <w:rStyle w:val="af0"/>
            <w:sz w:val="20"/>
            <w:szCs w:val="20"/>
            <w:lang w:val="en-US"/>
          </w:rPr>
          <w:t>net</w:t>
        </w:r>
        <w:r w:rsidRPr="001E0A31">
          <w:rPr>
            <w:rStyle w:val="af0"/>
            <w:sz w:val="20"/>
            <w:szCs w:val="20"/>
          </w:rPr>
          <w:t>/</w:t>
        </w:r>
        <w:r w:rsidRPr="001E0A31">
          <w:rPr>
            <w:rStyle w:val="af0"/>
            <w:sz w:val="20"/>
            <w:szCs w:val="20"/>
            <w:lang w:val="en-US"/>
          </w:rPr>
          <w:t>business</w:t>
        </w:r>
        <w:r w:rsidRPr="001E0A31">
          <w:rPr>
            <w:rStyle w:val="af0"/>
            <w:sz w:val="20"/>
            <w:szCs w:val="20"/>
          </w:rPr>
          <w:t>/835335</w:t>
        </w:r>
      </w:hyperlink>
      <w:r w:rsidRPr="001E0A31">
        <w:rPr>
          <w:sz w:val="20"/>
          <w:szCs w:val="20"/>
        </w:rPr>
        <w:t xml:space="preserve">, 13 мая 2009; </w:t>
      </w:r>
      <w:hyperlink r:id="rId2" w:history="1">
        <w:r w:rsidRPr="001E0A31">
          <w:rPr>
            <w:rStyle w:val="af0"/>
            <w:sz w:val="20"/>
            <w:szCs w:val="20"/>
          </w:rPr>
          <w:t>http://www.work.ua/news/world/269/</w:t>
        </w:r>
      </w:hyperlink>
      <w:r w:rsidRPr="001E0A31">
        <w:rPr>
          <w:sz w:val="20"/>
          <w:szCs w:val="20"/>
        </w:rPr>
        <w:t xml:space="preserve">. </w:t>
      </w:r>
      <w:r w:rsidR="001E0A31" w:rsidRPr="001E0A31">
        <w:rPr>
          <w:sz w:val="20"/>
          <w:szCs w:val="20"/>
        </w:rPr>
        <w:t>Однако эта цифра</w:t>
      </w:r>
      <w:r w:rsidR="001E0A31">
        <w:rPr>
          <w:sz w:val="20"/>
          <w:szCs w:val="20"/>
        </w:rPr>
        <w:t>, по мнению</w:t>
      </w:r>
      <w:r w:rsidR="001E0A31" w:rsidRPr="001E0A31">
        <w:rPr>
          <w:sz w:val="20"/>
          <w:szCs w:val="20"/>
        </w:rPr>
        <w:t xml:space="preserve"> некоторы</w:t>
      </w:r>
      <w:r w:rsidR="001E0A31">
        <w:rPr>
          <w:sz w:val="20"/>
          <w:szCs w:val="20"/>
        </w:rPr>
        <w:t>х</w:t>
      </w:r>
      <w:r w:rsidR="001E0A31" w:rsidRPr="001E0A31">
        <w:rPr>
          <w:sz w:val="20"/>
          <w:szCs w:val="20"/>
        </w:rPr>
        <w:t xml:space="preserve"> эксперт</w:t>
      </w:r>
      <w:r w:rsidR="001E0A31">
        <w:rPr>
          <w:sz w:val="20"/>
          <w:szCs w:val="20"/>
        </w:rPr>
        <w:t>ов,</w:t>
      </w:r>
      <w:r w:rsidR="001E0A31" w:rsidRPr="001E0A31">
        <w:rPr>
          <w:sz w:val="20"/>
          <w:szCs w:val="20"/>
        </w:rPr>
        <w:t xml:space="preserve"> не соответствует результатам сопоставительного анализа. Так согласно исследованию Азиатского банка развития число трудовых мигрантов Таджикистана в России в 2007 году составило 630-800 тыс. человек (</w:t>
      </w:r>
      <w:hyperlink r:id="rId3" w:tgtFrame="_blank" w:history="1">
        <w:r w:rsidR="001E0A31" w:rsidRPr="001E0A31">
          <w:rPr>
            <w:rStyle w:val="af0"/>
            <w:sz w:val="20"/>
            <w:szCs w:val="20"/>
          </w:rPr>
          <w:t>www.adb.org/Documents/Reports/Consultant/40038-REG/40038-04-REG-TACR.pdf</w:t>
        </w:r>
      </w:hyperlink>
      <w:r w:rsidR="001E0A31" w:rsidRPr="001E0A31">
        <w:rPr>
          <w:sz w:val="20"/>
          <w:szCs w:val="20"/>
        </w:rPr>
        <w:t>). При этом объем денежных переводов в Таджикистан из России, осуществленных физическими лицами по системам денежных переводов в 2007 году составил 1 632 млн. долл. США (</w:t>
      </w:r>
      <w:hyperlink r:id="rId4" w:history="1">
        <w:r w:rsidR="001E0A31" w:rsidRPr="001E0A31">
          <w:rPr>
            <w:rStyle w:val="af0"/>
            <w:sz w:val="20"/>
            <w:szCs w:val="20"/>
          </w:rPr>
          <w:t>www.cbr.ru</w:t>
        </w:r>
      </w:hyperlink>
      <w:r w:rsidR="001E0A31" w:rsidRPr="001E0A31">
        <w:rPr>
          <w:sz w:val="20"/>
          <w:szCs w:val="20"/>
        </w:rPr>
        <w:t>). Следовательно, на одного мигранта приходится в год 2040-2600 долл. США. Если предположить, что средний объем перевода на мигранта из Таджикистана и Узбекистана примерно одинаков, и учесть, что в 2008 году из России в Узбекистан физическими лицами по системам денежных переводов было переведено 2 978,2 млн. долл. США, то получается, что в России в 2008 г. работало около 1150-1450 тыс. мигрантов из Узбекистана.</w:t>
      </w:r>
    </w:p>
  </w:footnote>
  <w:footnote w:id="14">
    <w:p w:rsidR="009C2FD5" w:rsidRPr="00910018" w:rsidRDefault="009C2FD5" w:rsidP="009A5A38">
      <w:pPr>
        <w:pStyle w:val="a3"/>
      </w:pPr>
      <w:r w:rsidRPr="00910018">
        <w:rPr>
          <w:rStyle w:val="a5"/>
        </w:rPr>
        <w:footnoteRef/>
      </w:r>
      <w:r w:rsidRPr="00910018">
        <w:t xml:space="preserve"> </w:t>
      </w:r>
      <w:r>
        <w:t xml:space="preserve">См.: </w:t>
      </w:r>
      <w:hyperlink r:id="rId5" w:history="1">
        <w:r w:rsidRPr="00F91A9E">
          <w:rPr>
            <w:rStyle w:val="af0"/>
          </w:rPr>
          <w:t>http://www.cbr.ru/statistics/CrossBorder/print.asp?file=Personal_Remittances_CIS.htm</w:t>
        </w:r>
      </w:hyperlink>
      <w:r>
        <w:t xml:space="preserve">. </w:t>
      </w:r>
    </w:p>
  </w:footnote>
  <w:footnote w:id="15">
    <w:p w:rsidR="009C2FD5" w:rsidRPr="00910018" w:rsidRDefault="009C2FD5" w:rsidP="009A5A38">
      <w:pPr>
        <w:pStyle w:val="a3"/>
        <w:jc w:val="both"/>
      </w:pPr>
      <w:r w:rsidRPr="00910018">
        <w:rPr>
          <w:rStyle w:val="a5"/>
        </w:rPr>
        <w:footnoteRef/>
      </w:r>
      <w:r w:rsidRPr="00910018">
        <w:t xml:space="preserve"> </w:t>
      </w:r>
      <w:r w:rsidRPr="00910018">
        <w:rPr>
          <w:rStyle w:val="a5"/>
          <w:vertAlign w:val="baseline"/>
        </w:rPr>
        <w:t>См.: Боришполец К., Бабаджанов А. Миграционные риски стран Центральной Азии. М.:МГИМО, 2007.</w:t>
      </w:r>
    </w:p>
  </w:footnote>
  <w:footnote w:id="16">
    <w:p w:rsidR="009C2FD5" w:rsidRPr="00910018" w:rsidRDefault="009C2FD5" w:rsidP="009A5A38">
      <w:pPr>
        <w:pStyle w:val="a3"/>
        <w:rPr>
          <w:rStyle w:val="a5"/>
        </w:rPr>
      </w:pPr>
      <w:r w:rsidRPr="00910018">
        <w:rPr>
          <w:rStyle w:val="a5"/>
        </w:rPr>
        <w:footnoteRef/>
      </w:r>
      <w:r w:rsidRPr="00910018">
        <w:t xml:space="preserve"> </w:t>
      </w:r>
      <w:r w:rsidRPr="00910018">
        <w:rPr>
          <w:rStyle w:val="a5"/>
          <w:vertAlign w:val="baseline"/>
        </w:rPr>
        <w:t>Стратегия Принята Президиумом Кабинета Министров Республики Узбекистан 27 августа 2007 г. см.  стр. 47.</w:t>
      </w:r>
    </w:p>
  </w:footnote>
  <w:footnote w:id="17">
    <w:p w:rsidR="009C2FD5" w:rsidRPr="00910018" w:rsidRDefault="009C2FD5" w:rsidP="00746A3F">
      <w:pPr>
        <w:pStyle w:val="a3"/>
      </w:pPr>
      <w:r w:rsidRPr="00910018">
        <w:rPr>
          <w:rStyle w:val="a5"/>
        </w:rPr>
        <w:footnoteRef/>
      </w:r>
      <w:r w:rsidRPr="00910018">
        <w:t xml:space="preserve"> Так</w:t>
      </w:r>
      <w:r>
        <w:t>,</w:t>
      </w:r>
      <w:r w:rsidRPr="00910018">
        <w:t xml:space="preserve"> по данным Госкомстата</w:t>
      </w:r>
      <w:r>
        <w:t>,</w:t>
      </w:r>
      <w:r w:rsidRPr="00910018">
        <w:t xml:space="preserve"> в 2009 г. средняя зарплата в сфере </w:t>
      </w:r>
      <w:r w:rsidRPr="009E6795">
        <w:rPr>
          <w:i/>
        </w:rPr>
        <w:t>образования, культуры и науки</w:t>
      </w:r>
      <w:r w:rsidRPr="00910018">
        <w:t xml:space="preserve"> оставляла 52,2% от средней зарплаты в промышленности</w:t>
      </w:r>
      <w:r>
        <w:t>;</w:t>
      </w:r>
      <w:r w:rsidRPr="00910018">
        <w:t xml:space="preserve"> в </w:t>
      </w:r>
      <w:r>
        <w:t xml:space="preserve">сфере </w:t>
      </w:r>
      <w:r w:rsidRPr="009E6795">
        <w:rPr>
          <w:i/>
        </w:rPr>
        <w:t>здравоохранении, физической культуре, спорте и социальном обеспечении</w:t>
      </w:r>
      <w:r w:rsidRPr="00910018">
        <w:t xml:space="preserve"> – 49,5%, в сфере </w:t>
      </w:r>
      <w:r w:rsidRPr="009E6795">
        <w:rPr>
          <w:i/>
        </w:rPr>
        <w:t>непроизводственных видов бытового обслуживания</w:t>
      </w:r>
      <w:r w:rsidRPr="00910018">
        <w:t xml:space="preserve"> - 28%</w:t>
      </w:r>
      <w:r w:rsidRPr="00910018">
        <w:rPr>
          <w:rFonts w:eastAsia="Arial,Bold"/>
          <w:bCs/>
          <w:lang w:eastAsia="en-US"/>
        </w:rPr>
        <w:t>.</w:t>
      </w:r>
    </w:p>
  </w:footnote>
  <w:footnote w:id="18">
    <w:p w:rsidR="009C2FD5" w:rsidRPr="00910018" w:rsidRDefault="009C2FD5" w:rsidP="00ED3134">
      <w:pPr>
        <w:pStyle w:val="a3"/>
      </w:pPr>
      <w:r w:rsidRPr="00910018">
        <w:rPr>
          <w:rStyle w:val="a5"/>
        </w:rPr>
        <w:footnoteRef/>
      </w:r>
      <w:r w:rsidRPr="00910018">
        <w:t xml:space="preserve"> Имеются в виду не доходы занятых в данных отраслях (они могут быть достаточно высокими), а доходы населения региона в целом.</w:t>
      </w:r>
    </w:p>
  </w:footnote>
  <w:footnote w:id="19">
    <w:p w:rsidR="009C2FD5" w:rsidRPr="00910018" w:rsidRDefault="009C2FD5" w:rsidP="00ED3134">
      <w:pPr>
        <w:pStyle w:val="a3"/>
      </w:pPr>
      <w:r w:rsidRPr="00910018">
        <w:rPr>
          <w:rStyle w:val="a5"/>
        </w:rPr>
        <w:footnoteRef/>
      </w:r>
      <w:r w:rsidRPr="00910018">
        <w:t xml:space="preserve"> Для сравнения: в Ташкентской области примерно такая же доля промышленности в ВРП (36,4%), но доля занятых в промышленности – 19,8%. </w:t>
      </w:r>
    </w:p>
  </w:footnote>
  <w:footnote w:id="20">
    <w:p w:rsidR="009C2FD5" w:rsidRPr="00910018" w:rsidRDefault="009C2FD5" w:rsidP="00ED3134">
      <w:pPr>
        <w:pStyle w:val="a3"/>
      </w:pPr>
      <w:r w:rsidRPr="00910018">
        <w:rPr>
          <w:rStyle w:val="a5"/>
        </w:rPr>
        <w:footnoteRef/>
      </w:r>
      <w:r w:rsidRPr="00910018">
        <w:t xml:space="preserve"> Перераспределение доходов может осуществляться и в скрытой форме - через механизм ценообразования, так как цены на продукцию этих отраслей назначаются централизованно.</w:t>
      </w:r>
    </w:p>
  </w:footnote>
  <w:footnote w:id="21">
    <w:p w:rsidR="009C2FD5" w:rsidRPr="00910018" w:rsidRDefault="009C2FD5" w:rsidP="003640A5">
      <w:pPr>
        <w:pStyle w:val="a3"/>
      </w:pPr>
      <w:r w:rsidRPr="00910018">
        <w:rPr>
          <w:rStyle w:val="a5"/>
        </w:rPr>
        <w:footnoteRef/>
      </w:r>
      <w:r w:rsidRPr="00910018">
        <w:t xml:space="preserve"> См.: Отчет по результатам опроса субъектов внешнеэкономической деятельности о действующей системе регулирования экспортно-импортных операций и таможенного администрирования. Ташкент 2007; Технический отчет о проведенном опросе руководителей высокотехнологичных предприятий Ташкентского региона. Ташкент 2007; Аналитический доклад «Совершенствование инвестиционной политики: микроэкономические условия и предпосылки активизации частных инвестиций в Узбекистане», Ташкент, 2008; Аналитический доклад «Совершенствование механизма регулирования экспортно-импортных операций и повышение эффективности таможенного контроля».</w:t>
      </w:r>
    </w:p>
  </w:footnote>
  <w:footnote w:id="22">
    <w:p w:rsidR="009C2FD5" w:rsidRPr="00910018" w:rsidRDefault="009C2FD5" w:rsidP="003640A5">
      <w:pPr>
        <w:pStyle w:val="a3"/>
      </w:pPr>
      <w:r w:rsidRPr="00910018">
        <w:rPr>
          <w:rStyle w:val="a5"/>
        </w:rPr>
        <w:footnoteRef/>
      </w:r>
      <w:r w:rsidRPr="00910018">
        <w:t xml:space="preserve"> Завышенный курс сума уменьшает суммовые доходы от экспортной деятельности, что делает экспорт менее привлекательным. Не случайно, что в большинстве экспортоориентированных стран правительства поддерживают заниженные курсы своих национальных валют.</w:t>
      </w:r>
    </w:p>
  </w:footnote>
  <w:footnote w:id="23">
    <w:p w:rsidR="009C2FD5" w:rsidRDefault="009C2FD5">
      <w:pPr>
        <w:pStyle w:val="a3"/>
      </w:pPr>
      <w:r>
        <w:rPr>
          <w:rStyle w:val="a5"/>
        </w:rPr>
        <w:footnoteRef/>
      </w:r>
      <w:r>
        <w:t xml:space="preserve"> Закупка импортного сырья, материалов  и комплектующих, как правило, очень важны для повышения конкурентоспособности узбекского экспорта, так как на внутреннем рынке производители н</w:t>
      </w:r>
      <w:r w:rsidR="000D0B1C">
        <w:t>е</w:t>
      </w:r>
      <w:r>
        <w:t xml:space="preserve"> могут найти нужные ресурсы необходимого качества и по приемлемой цене.</w:t>
      </w:r>
    </w:p>
  </w:footnote>
  <w:footnote w:id="24">
    <w:p w:rsidR="009C2FD5" w:rsidRPr="00910018" w:rsidRDefault="009C2FD5" w:rsidP="003640A5">
      <w:pPr>
        <w:pStyle w:val="a3"/>
      </w:pPr>
      <w:r w:rsidRPr="00910018">
        <w:rPr>
          <w:rStyle w:val="a5"/>
        </w:rPr>
        <w:footnoteRef/>
      </w:r>
      <w:r w:rsidRPr="00910018">
        <w:t xml:space="preserve"> </w:t>
      </w:r>
      <w:r w:rsidRPr="00910018">
        <w:rPr>
          <w:color w:val="000000"/>
        </w:rPr>
        <w:t xml:space="preserve">В 2007 г. среднеарифметическая ставка таможенного тарифа в Республике Узбекистан составила </w:t>
      </w:r>
      <w:r w:rsidRPr="00910018">
        <w:rPr>
          <w:bCs/>
          <w:color w:val="000000"/>
        </w:rPr>
        <w:t>14,8%</w:t>
      </w:r>
      <w:r w:rsidRPr="00910018">
        <w:rPr>
          <w:color w:val="000000"/>
        </w:rPr>
        <w:t xml:space="preserve">, и этот показатель, согласно отчетам ВТО по торговой политике стран, является одним из самых высоких в мире. При этом, средний уровень таможенных платежей (пошлина, акциз и НДС) составляет около </w:t>
      </w:r>
      <w:r w:rsidRPr="00910018">
        <w:rPr>
          <w:bCs/>
          <w:color w:val="000000"/>
        </w:rPr>
        <w:t>41,7%</w:t>
      </w:r>
      <w:r w:rsidRPr="00910018">
        <w:rPr>
          <w:color w:val="000000"/>
        </w:rPr>
        <w:t>, что означает крайне высокий уровень импортного протекционизма (</w:t>
      </w:r>
      <w:r w:rsidRPr="00910018">
        <w:rPr>
          <w:i/>
          <w:color w:val="000000"/>
        </w:rPr>
        <w:t>Источник: доклад ПРООН «Совершенствование механизма регулирования экспортно-импортных операций и повышение эффективности таможенного контроля», Ташкент 2008 г.).</w:t>
      </w:r>
    </w:p>
  </w:footnote>
  <w:footnote w:id="25">
    <w:p w:rsidR="009C2FD5" w:rsidRPr="007133AD" w:rsidRDefault="009C2FD5" w:rsidP="004017F0">
      <w:pPr>
        <w:pStyle w:val="a3"/>
      </w:pPr>
      <w:r>
        <w:rPr>
          <w:rStyle w:val="a5"/>
        </w:rPr>
        <w:footnoteRef/>
      </w:r>
      <w:r w:rsidRPr="001675FB">
        <w:t xml:space="preserve"> Женщины и мужчины Узбекистана: 2000-2005. Стат</w:t>
      </w:r>
      <w:r>
        <w:t xml:space="preserve">истический </w:t>
      </w:r>
      <w:r w:rsidRPr="001675FB">
        <w:t>сборник.</w:t>
      </w:r>
      <w:r>
        <w:t xml:space="preserve"> </w:t>
      </w:r>
      <w:r w:rsidRPr="001675FB">
        <w:t>Ташкент, 2007. стр.127 (</w:t>
      </w:r>
      <w:r>
        <w:t>б</w:t>
      </w:r>
      <w:r w:rsidRPr="001675FB">
        <w:t xml:space="preserve">олее позднее издание информации о численности мужчин и </w:t>
      </w:r>
      <w:r w:rsidRPr="007133AD">
        <w:t>женщин-предпринимателей не содержит).</w:t>
      </w:r>
    </w:p>
  </w:footnote>
  <w:footnote w:id="26">
    <w:p w:rsidR="009C2FD5" w:rsidRDefault="009C2FD5" w:rsidP="004017F0">
      <w:pPr>
        <w:pStyle w:val="a3"/>
      </w:pPr>
      <w:r w:rsidRPr="007133AD">
        <w:rPr>
          <w:rStyle w:val="a5"/>
        </w:rPr>
        <w:footnoteRef/>
      </w:r>
      <w:r w:rsidRPr="007133AD">
        <w:t xml:space="preserve"> Отчет по социологическому исследованию «Предприниматели Узбекистана: проблемы, мнения, социальный портрет». Проект ПРООН, Ташкент, 2006.</w:t>
      </w:r>
    </w:p>
  </w:footnote>
  <w:footnote w:id="27">
    <w:p w:rsidR="009C2FD5" w:rsidRPr="00910018" w:rsidRDefault="009C2FD5" w:rsidP="0018091F">
      <w:pPr>
        <w:pStyle w:val="a3"/>
      </w:pPr>
      <w:r w:rsidRPr="00910018">
        <w:rPr>
          <w:rStyle w:val="a5"/>
        </w:rPr>
        <w:footnoteRef/>
      </w:r>
      <w:r w:rsidRPr="00910018">
        <w:t xml:space="preserve"> См.: Отчет по результатам опроса субъектов внешнеэкономической деятельности о действующей системе регулирования экспортно-импортных операций и таможенного администрирования. Ташкент 2007; Технический отчет о проведенном опросе руководителей высокотехнологичных предприятий Ташкентского региона. Ташкент 2007; Аналитический доклад «Совершенствование инвестиционной политики: микроэкономические условия и предпосылки активизации частных инвестиций в Узбекистане», Ташкент, 2008; Аналитический доклад «Совершенствование механизма регулирования экспортно-импортных операций и повышение эффективности таможенного контроля». Ташкент 2008; Аналитическая записка «</w:t>
      </w:r>
      <w:r w:rsidRPr="00910018">
        <w:rPr>
          <w:rFonts w:eastAsiaTheme="minorHAnsi"/>
          <w:bCs/>
          <w:lang w:eastAsia="en-US"/>
        </w:rPr>
        <w:t>Потенциал роста малого бизнеса в Узбекистане: барьеры и возможности». Издание ПРООН, Ташкент, 2009</w:t>
      </w:r>
      <w:r>
        <w:rPr>
          <w:rFonts w:eastAsiaTheme="minorHAnsi"/>
          <w:bCs/>
          <w:lang w:eastAsia="en-US"/>
        </w:rPr>
        <w:t>;</w:t>
      </w:r>
      <w:r w:rsidRPr="00910018">
        <w:t xml:space="preserve"> «Деловая среда в Узбекистане глазами представителями частного бизнеса», МФК 2009.</w:t>
      </w:r>
    </w:p>
  </w:footnote>
  <w:footnote w:id="28">
    <w:p w:rsidR="009C2FD5" w:rsidRPr="00910018" w:rsidRDefault="009C2FD5" w:rsidP="00ED3134">
      <w:pPr>
        <w:pStyle w:val="a3"/>
      </w:pPr>
      <w:r w:rsidRPr="00910018">
        <w:rPr>
          <w:rStyle w:val="a5"/>
        </w:rPr>
        <w:footnoteRef/>
      </w:r>
      <w:r w:rsidRPr="00910018">
        <w:t xml:space="preserve"> </w:t>
      </w:r>
      <w:hyperlink r:id="rId6" w:history="1">
        <w:r w:rsidRPr="005315E0">
          <w:rPr>
            <w:rStyle w:val="af0"/>
          </w:rPr>
          <w:t>http://www.gks.ru/bgd/regl/b09_56/IssWWW.exe/Stg/02-06.htm</w:t>
        </w:r>
      </w:hyperlink>
      <w:r>
        <w:t xml:space="preserve"> </w:t>
      </w:r>
    </w:p>
  </w:footnote>
  <w:footnote w:id="29">
    <w:p w:rsidR="009C2FD5" w:rsidRPr="00910018" w:rsidRDefault="009C2FD5" w:rsidP="00ED3134">
      <w:pPr>
        <w:pStyle w:val="a3"/>
      </w:pPr>
      <w:r w:rsidRPr="00910018">
        <w:rPr>
          <w:rStyle w:val="a5"/>
        </w:rPr>
        <w:footnoteRef/>
      </w:r>
      <w:r w:rsidRPr="00910018">
        <w:t xml:space="preserve"> </w:t>
      </w:r>
      <w:hyperlink r:id="rId7" w:history="1">
        <w:r w:rsidRPr="005315E0">
          <w:rPr>
            <w:rStyle w:val="af0"/>
          </w:rPr>
          <w:t>http://www.itcp.kz/content/prognoz-socialno-ekonomicheskogo-razvitiya-respubliki-kazahstan-na-2010-2014-gody-chast-1</w:t>
        </w:r>
      </w:hyperlink>
      <w:r>
        <w:t xml:space="preserve"> </w:t>
      </w:r>
    </w:p>
  </w:footnote>
  <w:footnote w:id="30">
    <w:p w:rsidR="009C2FD5" w:rsidRPr="00910018" w:rsidRDefault="009C2FD5" w:rsidP="00ED3134">
      <w:pPr>
        <w:pStyle w:val="a3"/>
      </w:pPr>
      <w:r w:rsidRPr="00910018">
        <w:rPr>
          <w:rStyle w:val="a5"/>
        </w:rPr>
        <w:footnoteRef/>
      </w:r>
      <w:r w:rsidRPr="00910018">
        <w:t xml:space="preserve"> </w:t>
      </w:r>
      <w:hyperlink r:id="rId8" w:history="1">
        <w:r w:rsidRPr="00910018">
          <w:rPr>
            <w:rStyle w:val="af0"/>
          </w:rPr>
          <w:t>http://bin.ua/88674-.html</w:t>
        </w:r>
      </w:hyperlink>
    </w:p>
  </w:footnote>
  <w:footnote w:id="31">
    <w:p w:rsidR="009C2FD5" w:rsidRPr="00910018" w:rsidRDefault="009C2FD5" w:rsidP="000C2F6E">
      <w:pPr>
        <w:pStyle w:val="a3"/>
      </w:pPr>
      <w:r w:rsidRPr="00910018">
        <w:rPr>
          <w:rStyle w:val="a5"/>
        </w:rPr>
        <w:footnoteRef/>
      </w:r>
      <w:r w:rsidRPr="00910018">
        <w:t xml:space="preserve"> «Деловая среда в Узбекистане глазами представителями частного бизнеса», МФК 2009.</w:t>
      </w:r>
    </w:p>
  </w:footnote>
  <w:footnote w:id="32">
    <w:p w:rsidR="009C2FD5" w:rsidRPr="00910018" w:rsidRDefault="009C2FD5" w:rsidP="007133AD">
      <w:pPr>
        <w:pStyle w:val="a3"/>
      </w:pPr>
      <w:r w:rsidRPr="00910018">
        <w:rPr>
          <w:rStyle w:val="a5"/>
        </w:rPr>
        <w:footnoteRef/>
      </w:r>
      <w:r w:rsidRPr="00910018">
        <w:t xml:space="preserve"> См.: </w:t>
      </w:r>
      <w:r w:rsidRPr="00910018">
        <w:rPr>
          <w:rFonts w:eastAsiaTheme="minorHAnsi"/>
          <w:lang w:eastAsia="en-US"/>
        </w:rPr>
        <w:t>Текущее состояние, проблемы и перспективы рынка страхования Узбекистана. Аналитическая записка. – Ташкент, 2009.</w:t>
      </w:r>
    </w:p>
  </w:footnote>
  <w:footnote w:id="33">
    <w:p w:rsidR="009C2FD5" w:rsidRPr="00910018" w:rsidRDefault="009C2FD5" w:rsidP="00ED3134">
      <w:pPr>
        <w:pStyle w:val="a3"/>
      </w:pPr>
      <w:r w:rsidRPr="00910018">
        <w:rPr>
          <w:rStyle w:val="a5"/>
        </w:rPr>
        <w:footnoteRef/>
      </w:r>
      <w:r w:rsidRPr="00910018">
        <w:t xml:space="preserve"> «Деловая среда в Узбекистане глазами представителями частного бизнеса», МФК 2009.</w:t>
      </w:r>
    </w:p>
  </w:footnote>
  <w:footnote w:id="34">
    <w:p w:rsidR="00627A96" w:rsidRDefault="00627A96">
      <w:pPr>
        <w:pStyle w:val="a3"/>
      </w:pPr>
      <w:r>
        <w:rPr>
          <w:rStyle w:val="a5"/>
        </w:rPr>
        <w:footnoteRef/>
      </w:r>
      <w:r>
        <w:t xml:space="preserve"> </w:t>
      </w:r>
      <w:r w:rsidRPr="00627A96">
        <w:t xml:space="preserve">Согласно </w:t>
      </w:r>
      <w:r>
        <w:t xml:space="preserve">действующего </w:t>
      </w:r>
      <w:r w:rsidRPr="00627A96">
        <w:t>законодательств</w:t>
      </w:r>
      <w:r>
        <w:t>а</w:t>
      </w:r>
      <w:r w:rsidRPr="00627A96">
        <w:t xml:space="preserve"> для легализации своего труда за</w:t>
      </w:r>
      <w:r>
        <w:t xml:space="preserve"> </w:t>
      </w:r>
      <w:r w:rsidRPr="00627A96">
        <w:t>рубежом, граждане Узбекистана обязаны получить разрешения Агентства по вопроса внешней трудовой миграции Узбекистана.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F9C"/>
    <w:multiLevelType w:val="hybridMultilevel"/>
    <w:tmpl w:val="ADAE72E8"/>
    <w:lvl w:ilvl="0" w:tplc="DB144F74">
      <w:start w:val="1"/>
      <w:numFmt w:val="bullet"/>
      <w:lvlText w:val="–"/>
      <w:lvlJc w:val="left"/>
      <w:pPr>
        <w:ind w:left="1440" w:hanging="360"/>
      </w:pPr>
      <w:rPr>
        <w:rFonts w:ascii="Times New Roman" w:hAnsi="Times New Roman" w:cs="Times New Roman" w:hint="default"/>
      </w:rPr>
    </w:lvl>
    <w:lvl w:ilvl="1" w:tplc="08430003" w:tentative="1">
      <w:start w:val="1"/>
      <w:numFmt w:val="bullet"/>
      <w:lvlText w:val="o"/>
      <w:lvlJc w:val="left"/>
      <w:pPr>
        <w:ind w:left="2160" w:hanging="360"/>
      </w:pPr>
      <w:rPr>
        <w:rFonts w:ascii="Courier New" w:hAnsi="Courier New" w:cs="Courier New" w:hint="default"/>
      </w:rPr>
    </w:lvl>
    <w:lvl w:ilvl="2" w:tplc="08430005" w:tentative="1">
      <w:start w:val="1"/>
      <w:numFmt w:val="bullet"/>
      <w:lvlText w:val=""/>
      <w:lvlJc w:val="left"/>
      <w:pPr>
        <w:ind w:left="2880" w:hanging="360"/>
      </w:pPr>
      <w:rPr>
        <w:rFonts w:ascii="Wingdings" w:hAnsi="Wingdings" w:hint="default"/>
      </w:rPr>
    </w:lvl>
    <w:lvl w:ilvl="3" w:tplc="08430001" w:tentative="1">
      <w:start w:val="1"/>
      <w:numFmt w:val="bullet"/>
      <w:lvlText w:val=""/>
      <w:lvlJc w:val="left"/>
      <w:pPr>
        <w:ind w:left="3600" w:hanging="360"/>
      </w:pPr>
      <w:rPr>
        <w:rFonts w:ascii="Symbol" w:hAnsi="Symbol" w:hint="default"/>
      </w:rPr>
    </w:lvl>
    <w:lvl w:ilvl="4" w:tplc="08430003" w:tentative="1">
      <w:start w:val="1"/>
      <w:numFmt w:val="bullet"/>
      <w:lvlText w:val="o"/>
      <w:lvlJc w:val="left"/>
      <w:pPr>
        <w:ind w:left="4320" w:hanging="360"/>
      </w:pPr>
      <w:rPr>
        <w:rFonts w:ascii="Courier New" w:hAnsi="Courier New" w:cs="Courier New" w:hint="default"/>
      </w:rPr>
    </w:lvl>
    <w:lvl w:ilvl="5" w:tplc="08430005" w:tentative="1">
      <w:start w:val="1"/>
      <w:numFmt w:val="bullet"/>
      <w:lvlText w:val=""/>
      <w:lvlJc w:val="left"/>
      <w:pPr>
        <w:ind w:left="5040" w:hanging="360"/>
      </w:pPr>
      <w:rPr>
        <w:rFonts w:ascii="Wingdings" w:hAnsi="Wingdings" w:hint="default"/>
      </w:rPr>
    </w:lvl>
    <w:lvl w:ilvl="6" w:tplc="08430001" w:tentative="1">
      <w:start w:val="1"/>
      <w:numFmt w:val="bullet"/>
      <w:lvlText w:val=""/>
      <w:lvlJc w:val="left"/>
      <w:pPr>
        <w:ind w:left="5760" w:hanging="360"/>
      </w:pPr>
      <w:rPr>
        <w:rFonts w:ascii="Symbol" w:hAnsi="Symbol" w:hint="default"/>
      </w:rPr>
    </w:lvl>
    <w:lvl w:ilvl="7" w:tplc="08430003" w:tentative="1">
      <w:start w:val="1"/>
      <w:numFmt w:val="bullet"/>
      <w:lvlText w:val="o"/>
      <w:lvlJc w:val="left"/>
      <w:pPr>
        <w:ind w:left="6480" w:hanging="360"/>
      </w:pPr>
      <w:rPr>
        <w:rFonts w:ascii="Courier New" w:hAnsi="Courier New" w:cs="Courier New" w:hint="default"/>
      </w:rPr>
    </w:lvl>
    <w:lvl w:ilvl="8" w:tplc="08430005" w:tentative="1">
      <w:start w:val="1"/>
      <w:numFmt w:val="bullet"/>
      <w:lvlText w:val=""/>
      <w:lvlJc w:val="left"/>
      <w:pPr>
        <w:ind w:left="7200" w:hanging="360"/>
      </w:pPr>
      <w:rPr>
        <w:rFonts w:ascii="Wingdings" w:hAnsi="Wingdings" w:hint="default"/>
      </w:rPr>
    </w:lvl>
  </w:abstractNum>
  <w:abstractNum w:abstractNumId="1">
    <w:nsid w:val="014D24DC"/>
    <w:multiLevelType w:val="hybridMultilevel"/>
    <w:tmpl w:val="8B605F4C"/>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05D562C2"/>
    <w:multiLevelType w:val="hybridMultilevel"/>
    <w:tmpl w:val="CC986382"/>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4">
    <w:nsid w:val="10663E2F"/>
    <w:multiLevelType w:val="hybridMultilevel"/>
    <w:tmpl w:val="308278E0"/>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91D4D"/>
    <w:multiLevelType w:val="hybridMultilevel"/>
    <w:tmpl w:val="5408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7063F7"/>
    <w:multiLevelType w:val="hybridMultilevel"/>
    <w:tmpl w:val="6E866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22A54"/>
    <w:multiLevelType w:val="multilevel"/>
    <w:tmpl w:val="42CC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D57AA"/>
    <w:multiLevelType w:val="hybridMultilevel"/>
    <w:tmpl w:val="65DA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220F3"/>
    <w:multiLevelType w:val="hybridMultilevel"/>
    <w:tmpl w:val="8D3E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3260D"/>
    <w:multiLevelType w:val="hybridMultilevel"/>
    <w:tmpl w:val="0BE2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C0762"/>
    <w:multiLevelType w:val="hybridMultilevel"/>
    <w:tmpl w:val="F514B66C"/>
    <w:lvl w:ilvl="0" w:tplc="C4EE63F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43BD9"/>
    <w:multiLevelType w:val="multilevel"/>
    <w:tmpl w:val="DFC87C8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2754D3"/>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C1A19"/>
    <w:multiLevelType w:val="hybridMultilevel"/>
    <w:tmpl w:val="C61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15C74"/>
    <w:multiLevelType w:val="hybridMultilevel"/>
    <w:tmpl w:val="892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80AED"/>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CC7E5E"/>
    <w:multiLevelType w:val="hybridMultilevel"/>
    <w:tmpl w:val="85046D8A"/>
    <w:lvl w:ilvl="0" w:tplc="46E2CE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3339C"/>
    <w:multiLevelType w:val="hybridMultilevel"/>
    <w:tmpl w:val="3890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2C2579"/>
    <w:multiLevelType w:val="hybridMultilevel"/>
    <w:tmpl w:val="3F6A3C8A"/>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21EFB"/>
    <w:multiLevelType w:val="hybridMultilevel"/>
    <w:tmpl w:val="5FDC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073EE4"/>
    <w:multiLevelType w:val="hybridMultilevel"/>
    <w:tmpl w:val="2068BA76"/>
    <w:lvl w:ilvl="0" w:tplc="46E2CE1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5"/>
  </w:num>
  <w:num w:numId="3">
    <w:abstractNumId w:val="9"/>
  </w:num>
  <w:num w:numId="4">
    <w:abstractNumId w:val="14"/>
  </w:num>
  <w:num w:numId="5">
    <w:abstractNumId w:val="18"/>
  </w:num>
  <w:num w:numId="6">
    <w:abstractNumId w:val="1"/>
  </w:num>
  <w:num w:numId="7">
    <w:abstractNumId w:val="4"/>
  </w:num>
  <w:num w:numId="8">
    <w:abstractNumId w:val="21"/>
  </w:num>
  <w:num w:numId="9">
    <w:abstractNumId w:val="19"/>
  </w:num>
  <w:num w:numId="10">
    <w:abstractNumId w:val="12"/>
  </w:num>
  <w:num w:numId="11">
    <w:abstractNumId w:val="10"/>
  </w:num>
  <w:num w:numId="12">
    <w:abstractNumId w:val="5"/>
  </w:num>
  <w:num w:numId="13">
    <w:abstractNumId w:val="22"/>
  </w:num>
  <w:num w:numId="14">
    <w:abstractNumId w:val="11"/>
  </w:num>
  <w:num w:numId="15">
    <w:abstractNumId w:val="13"/>
  </w:num>
  <w:num w:numId="16">
    <w:abstractNumId w:val="6"/>
  </w:num>
  <w:num w:numId="17">
    <w:abstractNumId w:val="2"/>
  </w:num>
  <w:num w:numId="18">
    <w:abstractNumId w:val="20"/>
  </w:num>
  <w:num w:numId="19">
    <w:abstractNumId w:val="16"/>
  </w:num>
  <w:num w:numId="20">
    <w:abstractNumId w:val="7"/>
  </w:num>
  <w:num w:numId="21">
    <w:abstractNumId w:val="23"/>
  </w:num>
  <w:num w:numId="22">
    <w:abstractNumId w:val="8"/>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2E2934"/>
    <w:rsid w:val="000017DA"/>
    <w:rsid w:val="00007375"/>
    <w:rsid w:val="0001748B"/>
    <w:rsid w:val="00030694"/>
    <w:rsid w:val="00030B00"/>
    <w:rsid w:val="0003508F"/>
    <w:rsid w:val="00041C1D"/>
    <w:rsid w:val="000430BD"/>
    <w:rsid w:val="000433C8"/>
    <w:rsid w:val="00043B01"/>
    <w:rsid w:val="0004581F"/>
    <w:rsid w:val="000458F5"/>
    <w:rsid w:val="0005171E"/>
    <w:rsid w:val="00051ED3"/>
    <w:rsid w:val="000533A5"/>
    <w:rsid w:val="000535D6"/>
    <w:rsid w:val="00055C59"/>
    <w:rsid w:val="00057BDE"/>
    <w:rsid w:val="000611C0"/>
    <w:rsid w:val="0006339F"/>
    <w:rsid w:val="0006469F"/>
    <w:rsid w:val="0006539D"/>
    <w:rsid w:val="00066D7B"/>
    <w:rsid w:val="000679E2"/>
    <w:rsid w:val="000702A5"/>
    <w:rsid w:val="00071F9E"/>
    <w:rsid w:val="00073AD9"/>
    <w:rsid w:val="000754E9"/>
    <w:rsid w:val="000800D8"/>
    <w:rsid w:val="0008075D"/>
    <w:rsid w:val="000850F6"/>
    <w:rsid w:val="0008521F"/>
    <w:rsid w:val="00085504"/>
    <w:rsid w:val="000922F7"/>
    <w:rsid w:val="0009273F"/>
    <w:rsid w:val="00093CBE"/>
    <w:rsid w:val="00095790"/>
    <w:rsid w:val="000A1B4C"/>
    <w:rsid w:val="000B5500"/>
    <w:rsid w:val="000C07EC"/>
    <w:rsid w:val="000C093B"/>
    <w:rsid w:val="000C0CDA"/>
    <w:rsid w:val="000C0F25"/>
    <w:rsid w:val="000C2C03"/>
    <w:rsid w:val="000C2F6E"/>
    <w:rsid w:val="000C657C"/>
    <w:rsid w:val="000D0B1C"/>
    <w:rsid w:val="000E3D6F"/>
    <w:rsid w:val="000E4576"/>
    <w:rsid w:val="000F34B0"/>
    <w:rsid w:val="00101B99"/>
    <w:rsid w:val="0010253F"/>
    <w:rsid w:val="00111C4D"/>
    <w:rsid w:val="001126A8"/>
    <w:rsid w:val="00116B14"/>
    <w:rsid w:val="001200BA"/>
    <w:rsid w:val="0012073A"/>
    <w:rsid w:val="00120E56"/>
    <w:rsid w:val="00122179"/>
    <w:rsid w:val="00125836"/>
    <w:rsid w:val="00126D7D"/>
    <w:rsid w:val="00133A56"/>
    <w:rsid w:val="001349C2"/>
    <w:rsid w:val="00136C24"/>
    <w:rsid w:val="0014090B"/>
    <w:rsid w:val="00142305"/>
    <w:rsid w:val="00152E19"/>
    <w:rsid w:val="00154701"/>
    <w:rsid w:val="001553EB"/>
    <w:rsid w:val="001612E0"/>
    <w:rsid w:val="001634B8"/>
    <w:rsid w:val="001721DF"/>
    <w:rsid w:val="00177250"/>
    <w:rsid w:val="0018091F"/>
    <w:rsid w:val="0018201D"/>
    <w:rsid w:val="001827ED"/>
    <w:rsid w:val="00183500"/>
    <w:rsid w:val="00192748"/>
    <w:rsid w:val="0019725E"/>
    <w:rsid w:val="001974C6"/>
    <w:rsid w:val="001B3869"/>
    <w:rsid w:val="001B3B7B"/>
    <w:rsid w:val="001B3C16"/>
    <w:rsid w:val="001B4613"/>
    <w:rsid w:val="001B6C87"/>
    <w:rsid w:val="001C1B91"/>
    <w:rsid w:val="001C215C"/>
    <w:rsid w:val="001C51F0"/>
    <w:rsid w:val="001C57F8"/>
    <w:rsid w:val="001D451D"/>
    <w:rsid w:val="001D4AE7"/>
    <w:rsid w:val="001E024F"/>
    <w:rsid w:val="001E0A31"/>
    <w:rsid w:val="001E543F"/>
    <w:rsid w:val="001E577D"/>
    <w:rsid w:val="001F1C58"/>
    <w:rsid w:val="001F1E2B"/>
    <w:rsid w:val="001F3677"/>
    <w:rsid w:val="001F455A"/>
    <w:rsid w:val="001F4DED"/>
    <w:rsid w:val="001F590F"/>
    <w:rsid w:val="002004AB"/>
    <w:rsid w:val="00200E89"/>
    <w:rsid w:val="00201362"/>
    <w:rsid w:val="002033DD"/>
    <w:rsid w:val="00204B0B"/>
    <w:rsid w:val="00207E54"/>
    <w:rsid w:val="00212388"/>
    <w:rsid w:val="002145F3"/>
    <w:rsid w:val="002146D1"/>
    <w:rsid w:val="00215F15"/>
    <w:rsid w:val="0022025F"/>
    <w:rsid w:val="002202A1"/>
    <w:rsid w:val="00222900"/>
    <w:rsid w:val="00223D15"/>
    <w:rsid w:val="002259D0"/>
    <w:rsid w:val="00226188"/>
    <w:rsid w:val="00226C5A"/>
    <w:rsid w:val="00230ED3"/>
    <w:rsid w:val="00232DEB"/>
    <w:rsid w:val="00235141"/>
    <w:rsid w:val="00237823"/>
    <w:rsid w:val="00244090"/>
    <w:rsid w:val="00244709"/>
    <w:rsid w:val="00247DE4"/>
    <w:rsid w:val="00251EC8"/>
    <w:rsid w:val="00252EEE"/>
    <w:rsid w:val="002631AA"/>
    <w:rsid w:val="00266452"/>
    <w:rsid w:val="002668A7"/>
    <w:rsid w:val="00267DD3"/>
    <w:rsid w:val="00267EB1"/>
    <w:rsid w:val="00270783"/>
    <w:rsid w:val="00272043"/>
    <w:rsid w:val="00274321"/>
    <w:rsid w:val="0027480B"/>
    <w:rsid w:val="0027735A"/>
    <w:rsid w:val="00281370"/>
    <w:rsid w:val="00282941"/>
    <w:rsid w:val="0028540B"/>
    <w:rsid w:val="00290F02"/>
    <w:rsid w:val="00291B46"/>
    <w:rsid w:val="00294928"/>
    <w:rsid w:val="00297075"/>
    <w:rsid w:val="00297510"/>
    <w:rsid w:val="002A093A"/>
    <w:rsid w:val="002A5B8D"/>
    <w:rsid w:val="002B26CC"/>
    <w:rsid w:val="002B4F33"/>
    <w:rsid w:val="002B7BBC"/>
    <w:rsid w:val="002C20BD"/>
    <w:rsid w:val="002C3308"/>
    <w:rsid w:val="002C3EA9"/>
    <w:rsid w:val="002C61DC"/>
    <w:rsid w:val="002C6920"/>
    <w:rsid w:val="002C6FBC"/>
    <w:rsid w:val="002D5289"/>
    <w:rsid w:val="002E1103"/>
    <w:rsid w:val="002E1C5B"/>
    <w:rsid w:val="002E2934"/>
    <w:rsid w:val="002E41F1"/>
    <w:rsid w:val="002F08CE"/>
    <w:rsid w:val="002F0FFB"/>
    <w:rsid w:val="002F412C"/>
    <w:rsid w:val="002F42BA"/>
    <w:rsid w:val="002F4925"/>
    <w:rsid w:val="002F581E"/>
    <w:rsid w:val="00301E82"/>
    <w:rsid w:val="00302686"/>
    <w:rsid w:val="00302F32"/>
    <w:rsid w:val="003037C3"/>
    <w:rsid w:val="0030491B"/>
    <w:rsid w:val="00306224"/>
    <w:rsid w:val="00307400"/>
    <w:rsid w:val="003079AF"/>
    <w:rsid w:val="003158A1"/>
    <w:rsid w:val="00315904"/>
    <w:rsid w:val="00320B77"/>
    <w:rsid w:val="00321587"/>
    <w:rsid w:val="00327DED"/>
    <w:rsid w:val="00332390"/>
    <w:rsid w:val="003328EB"/>
    <w:rsid w:val="00333884"/>
    <w:rsid w:val="003363E4"/>
    <w:rsid w:val="0034292A"/>
    <w:rsid w:val="00343B33"/>
    <w:rsid w:val="00344469"/>
    <w:rsid w:val="00344578"/>
    <w:rsid w:val="0034569B"/>
    <w:rsid w:val="00346804"/>
    <w:rsid w:val="0035013D"/>
    <w:rsid w:val="00350D46"/>
    <w:rsid w:val="00351221"/>
    <w:rsid w:val="003514D4"/>
    <w:rsid w:val="00351C1C"/>
    <w:rsid w:val="00357A59"/>
    <w:rsid w:val="0036227B"/>
    <w:rsid w:val="003640A5"/>
    <w:rsid w:val="0036438C"/>
    <w:rsid w:val="00365A70"/>
    <w:rsid w:val="00366624"/>
    <w:rsid w:val="00366901"/>
    <w:rsid w:val="00370DA3"/>
    <w:rsid w:val="0037353C"/>
    <w:rsid w:val="00373C7F"/>
    <w:rsid w:val="00375549"/>
    <w:rsid w:val="00376ED2"/>
    <w:rsid w:val="00377AFA"/>
    <w:rsid w:val="00385615"/>
    <w:rsid w:val="003859EA"/>
    <w:rsid w:val="0038627D"/>
    <w:rsid w:val="003979E0"/>
    <w:rsid w:val="003A0496"/>
    <w:rsid w:val="003A25E4"/>
    <w:rsid w:val="003A40C7"/>
    <w:rsid w:val="003B073C"/>
    <w:rsid w:val="003B0968"/>
    <w:rsid w:val="003B1E53"/>
    <w:rsid w:val="003B2752"/>
    <w:rsid w:val="003B2931"/>
    <w:rsid w:val="003B494B"/>
    <w:rsid w:val="003B530E"/>
    <w:rsid w:val="003B65A8"/>
    <w:rsid w:val="003C3EF2"/>
    <w:rsid w:val="003C45A7"/>
    <w:rsid w:val="003C4F13"/>
    <w:rsid w:val="003D0484"/>
    <w:rsid w:val="003D0A3F"/>
    <w:rsid w:val="003D2B87"/>
    <w:rsid w:val="003D4D1D"/>
    <w:rsid w:val="003E2F5B"/>
    <w:rsid w:val="003E3EF2"/>
    <w:rsid w:val="003E5FD3"/>
    <w:rsid w:val="003F0B11"/>
    <w:rsid w:val="003F3C1C"/>
    <w:rsid w:val="003F56E4"/>
    <w:rsid w:val="003F5722"/>
    <w:rsid w:val="003F5AC7"/>
    <w:rsid w:val="003F641D"/>
    <w:rsid w:val="004017F0"/>
    <w:rsid w:val="00405C3A"/>
    <w:rsid w:val="004106AC"/>
    <w:rsid w:val="0041594F"/>
    <w:rsid w:val="00416FAB"/>
    <w:rsid w:val="004201BA"/>
    <w:rsid w:val="00420FE3"/>
    <w:rsid w:val="00421132"/>
    <w:rsid w:val="004213F1"/>
    <w:rsid w:val="00425A42"/>
    <w:rsid w:val="004261E8"/>
    <w:rsid w:val="00427794"/>
    <w:rsid w:val="004352AB"/>
    <w:rsid w:val="0044139F"/>
    <w:rsid w:val="00447848"/>
    <w:rsid w:val="00450487"/>
    <w:rsid w:val="00451A05"/>
    <w:rsid w:val="004523AC"/>
    <w:rsid w:val="00455FBA"/>
    <w:rsid w:val="00456A69"/>
    <w:rsid w:val="00461C14"/>
    <w:rsid w:val="00466D43"/>
    <w:rsid w:val="00477A9B"/>
    <w:rsid w:val="00477D14"/>
    <w:rsid w:val="00480A15"/>
    <w:rsid w:val="00481E5C"/>
    <w:rsid w:val="00482A4F"/>
    <w:rsid w:val="0048382E"/>
    <w:rsid w:val="00486229"/>
    <w:rsid w:val="00486C36"/>
    <w:rsid w:val="004909A2"/>
    <w:rsid w:val="00494A0F"/>
    <w:rsid w:val="0049677E"/>
    <w:rsid w:val="00496D8F"/>
    <w:rsid w:val="00496DA9"/>
    <w:rsid w:val="00497F87"/>
    <w:rsid w:val="004A22E8"/>
    <w:rsid w:val="004A4CE7"/>
    <w:rsid w:val="004A5B9D"/>
    <w:rsid w:val="004A6A25"/>
    <w:rsid w:val="004A6E00"/>
    <w:rsid w:val="004B09EA"/>
    <w:rsid w:val="004B1915"/>
    <w:rsid w:val="004B4225"/>
    <w:rsid w:val="004B723B"/>
    <w:rsid w:val="004B7355"/>
    <w:rsid w:val="004C0FC8"/>
    <w:rsid w:val="004D07FA"/>
    <w:rsid w:val="004D1259"/>
    <w:rsid w:val="004D1862"/>
    <w:rsid w:val="004D30B3"/>
    <w:rsid w:val="004D6182"/>
    <w:rsid w:val="004E19CD"/>
    <w:rsid w:val="004E6D6E"/>
    <w:rsid w:val="004F2B54"/>
    <w:rsid w:val="004F5034"/>
    <w:rsid w:val="004F79E1"/>
    <w:rsid w:val="00502710"/>
    <w:rsid w:val="005100D4"/>
    <w:rsid w:val="00510759"/>
    <w:rsid w:val="0051197F"/>
    <w:rsid w:val="0052364B"/>
    <w:rsid w:val="0052377C"/>
    <w:rsid w:val="00525BC2"/>
    <w:rsid w:val="00530394"/>
    <w:rsid w:val="005315D0"/>
    <w:rsid w:val="00533557"/>
    <w:rsid w:val="00533D49"/>
    <w:rsid w:val="005406AE"/>
    <w:rsid w:val="005440DA"/>
    <w:rsid w:val="005446A1"/>
    <w:rsid w:val="00545B35"/>
    <w:rsid w:val="00546405"/>
    <w:rsid w:val="005510EA"/>
    <w:rsid w:val="0055144D"/>
    <w:rsid w:val="00551C75"/>
    <w:rsid w:val="0055256C"/>
    <w:rsid w:val="0056183E"/>
    <w:rsid w:val="00570271"/>
    <w:rsid w:val="00571E29"/>
    <w:rsid w:val="00572BE9"/>
    <w:rsid w:val="005736C8"/>
    <w:rsid w:val="00574A2D"/>
    <w:rsid w:val="00575AFD"/>
    <w:rsid w:val="0057619C"/>
    <w:rsid w:val="00577271"/>
    <w:rsid w:val="00577723"/>
    <w:rsid w:val="00580A2D"/>
    <w:rsid w:val="005842DE"/>
    <w:rsid w:val="005870D6"/>
    <w:rsid w:val="00590453"/>
    <w:rsid w:val="0059191D"/>
    <w:rsid w:val="00591AC2"/>
    <w:rsid w:val="00597F13"/>
    <w:rsid w:val="005A021A"/>
    <w:rsid w:val="005A088A"/>
    <w:rsid w:val="005A162E"/>
    <w:rsid w:val="005A1DF0"/>
    <w:rsid w:val="005A1E63"/>
    <w:rsid w:val="005A4E00"/>
    <w:rsid w:val="005B38EF"/>
    <w:rsid w:val="005B4BD8"/>
    <w:rsid w:val="005C221B"/>
    <w:rsid w:val="005C2933"/>
    <w:rsid w:val="005C6E9C"/>
    <w:rsid w:val="005D02E6"/>
    <w:rsid w:val="005D049E"/>
    <w:rsid w:val="005D4F96"/>
    <w:rsid w:val="005D57A0"/>
    <w:rsid w:val="005E488F"/>
    <w:rsid w:val="005E52A8"/>
    <w:rsid w:val="005E550D"/>
    <w:rsid w:val="005F5AEC"/>
    <w:rsid w:val="005F5C5C"/>
    <w:rsid w:val="006004C9"/>
    <w:rsid w:val="006024A8"/>
    <w:rsid w:val="00602885"/>
    <w:rsid w:val="00604888"/>
    <w:rsid w:val="00606067"/>
    <w:rsid w:val="006162CD"/>
    <w:rsid w:val="00621A71"/>
    <w:rsid w:val="00623191"/>
    <w:rsid w:val="00627A96"/>
    <w:rsid w:val="00627A99"/>
    <w:rsid w:val="00630E91"/>
    <w:rsid w:val="006323EA"/>
    <w:rsid w:val="00632953"/>
    <w:rsid w:val="00633A85"/>
    <w:rsid w:val="00635BF6"/>
    <w:rsid w:val="00637956"/>
    <w:rsid w:val="00643A07"/>
    <w:rsid w:val="00651734"/>
    <w:rsid w:val="00653779"/>
    <w:rsid w:val="0066349A"/>
    <w:rsid w:val="00663890"/>
    <w:rsid w:val="00667E54"/>
    <w:rsid w:val="00670E95"/>
    <w:rsid w:val="00671024"/>
    <w:rsid w:val="006752C4"/>
    <w:rsid w:val="0067648B"/>
    <w:rsid w:val="00676B6E"/>
    <w:rsid w:val="00682896"/>
    <w:rsid w:val="00683751"/>
    <w:rsid w:val="00691E4A"/>
    <w:rsid w:val="006923C4"/>
    <w:rsid w:val="0069580D"/>
    <w:rsid w:val="00695ABF"/>
    <w:rsid w:val="00697F3E"/>
    <w:rsid w:val="006A0287"/>
    <w:rsid w:val="006A1532"/>
    <w:rsid w:val="006A1658"/>
    <w:rsid w:val="006A17F7"/>
    <w:rsid w:val="006A1856"/>
    <w:rsid w:val="006A53B4"/>
    <w:rsid w:val="006A63A9"/>
    <w:rsid w:val="006A7200"/>
    <w:rsid w:val="006A7EB3"/>
    <w:rsid w:val="006B27DC"/>
    <w:rsid w:val="006B27E0"/>
    <w:rsid w:val="006C19DC"/>
    <w:rsid w:val="006C5E30"/>
    <w:rsid w:val="006C682D"/>
    <w:rsid w:val="006C74D7"/>
    <w:rsid w:val="006D6918"/>
    <w:rsid w:val="006E17D7"/>
    <w:rsid w:val="006E1C47"/>
    <w:rsid w:val="006E6CBA"/>
    <w:rsid w:val="006E7ECD"/>
    <w:rsid w:val="006F191A"/>
    <w:rsid w:val="006F3D8F"/>
    <w:rsid w:val="006F3FAD"/>
    <w:rsid w:val="006F465A"/>
    <w:rsid w:val="00701F1F"/>
    <w:rsid w:val="007028F0"/>
    <w:rsid w:val="00703BC2"/>
    <w:rsid w:val="0070621B"/>
    <w:rsid w:val="007133AD"/>
    <w:rsid w:val="00713DD1"/>
    <w:rsid w:val="00716DEC"/>
    <w:rsid w:val="00720CF3"/>
    <w:rsid w:val="00725244"/>
    <w:rsid w:val="007258B3"/>
    <w:rsid w:val="00726E1C"/>
    <w:rsid w:val="00732B76"/>
    <w:rsid w:val="00734772"/>
    <w:rsid w:val="007356F7"/>
    <w:rsid w:val="007367C9"/>
    <w:rsid w:val="007376F2"/>
    <w:rsid w:val="00737976"/>
    <w:rsid w:val="00737E85"/>
    <w:rsid w:val="007422C5"/>
    <w:rsid w:val="00742537"/>
    <w:rsid w:val="0074323B"/>
    <w:rsid w:val="00746A3F"/>
    <w:rsid w:val="00750CC0"/>
    <w:rsid w:val="007516C4"/>
    <w:rsid w:val="007545BD"/>
    <w:rsid w:val="0075533D"/>
    <w:rsid w:val="00756722"/>
    <w:rsid w:val="00756AF5"/>
    <w:rsid w:val="00756F24"/>
    <w:rsid w:val="00756F94"/>
    <w:rsid w:val="0076081D"/>
    <w:rsid w:val="00764975"/>
    <w:rsid w:val="00764A45"/>
    <w:rsid w:val="00765217"/>
    <w:rsid w:val="00772054"/>
    <w:rsid w:val="00781385"/>
    <w:rsid w:val="00781D08"/>
    <w:rsid w:val="007926EE"/>
    <w:rsid w:val="007A374D"/>
    <w:rsid w:val="007A4E5C"/>
    <w:rsid w:val="007B2FF8"/>
    <w:rsid w:val="007B43AE"/>
    <w:rsid w:val="007C0B10"/>
    <w:rsid w:val="007C124D"/>
    <w:rsid w:val="007C173B"/>
    <w:rsid w:val="007C2BA7"/>
    <w:rsid w:val="007C4F45"/>
    <w:rsid w:val="007C52D5"/>
    <w:rsid w:val="007C59A5"/>
    <w:rsid w:val="007C5D70"/>
    <w:rsid w:val="007C6443"/>
    <w:rsid w:val="007C672C"/>
    <w:rsid w:val="007C7210"/>
    <w:rsid w:val="007C76E9"/>
    <w:rsid w:val="007D0DD1"/>
    <w:rsid w:val="007D60B2"/>
    <w:rsid w:val="007E09A4"/>
    <w:rsid w:val="007E21FC"/>
    <w:rsid w:val="007E4C3E"/>
    <w:rsid w:val="007E67B5"/>
    <w:rsid w:val="007F025B"/>
    <w:rsid w:val="007F03D6"/>
    <w:rsid w:val="007F1898"/>
    <w:rsid w:val="007F2F7B"/>
    <w:rsid w:val="007F4653"/>
    <w:rsid w:val="007F5202"/>
    <w:rsid w:val="007F5459"/>
    <w:rsid w:val="00800FB8"/>
    <w:rsid w:val="008064FB"/>
    <w:rsid w:val="00813F40"/>
    <w:rsid w:val="008142FE"/>
    <w:rsid w:val="008162BC"/>
    <w:rsid w:val="00817D64"/>
    <w:rsid w:val="00821498"/>
    <w:rsid w:val="00822767"/>
    <w:rsid w:val="00824666"/>
    <w:rsid w:val="00826D9E"/>
    <w:rsid w:val="00830A3D"/>
    <w:rsid w:val="00835C40"/>
    <w:rsid w:val="00840E4A"/>
    <w:rsid w:val="00842988"/>
    <w:rsid w:val="00847EC5"/>
    <w:rsid w:val="008514CA"/>
    <w:rsid w:val="00852B66"/>
    <w:rsid w:val="0085371F"/>
    <w:rsid w:val="00853D41"/>
    <w:rsid w:val="00860276"/>
    <w:rsid w:val="00861025"/>
    <w:rsid w:val="0086108F"/>
    <w:rsid w:val="00861267"/>
    <w:rsid w:val="0086207F"/>
    <w:rsid w:val="008646D4"/>
    <w:rsid w:val="008651A2"/>
    <w:rsid w:val="00865941"/>
    <w:rsid w:val="00870E71"/>
    <w:rsid w:val="00872233"/>
    <w:rsid w:val="0087264E"/>
    <w:rsid w:val="00874440"/>
    <w:rsid w:val="008813F2"/>
    <w:rsid w:val="008848A4"/>
    <w:rsid w:val="00885267"/>
    <w:rsid w:val="00886FC9"/>
    <w:rsid w:val="0088708F"/>
    <w:rsid w:val="00893A1C"/>
    <w:rsid w:val="008A2AB3"/>
    <w:rsid w:val="008A3303"/>
    <w:rsid w:val="008A3708"/>
    <w:rsid w:val="008A7500"/>
    <w:rsid w:val="008A7AC9"/>
    <w:rsid w:val="008B28F0"/>
    <w:rsid w:val="008B4938"/>
    <w:rsid w:val="008B6AA7"/>
    <w:rsid w:val="008C1041"/>
    <w:rsid w:val="008C183B"/>
    <w:rsid w:val="008C2DE6"/>
    <w:rsid w:val="008C4A9E"/>
    <w:rsid w:val="008C70FE"/>
    <w:rsid w:val="008D1339"/>
    <w:rsid w:val="008D546C"/>
    <w:rsid w:val="008D7057"/>
    <w:rsid w:val="008E09C2"/>
    <w:rsid w:val="008F00BD"/>
    <w:rsid w:val="008F1DA3"/>
    <w:rsid w:val="008F218A"/>
    <w:rsid w:val="008F3641"/>
    <w:rsid w:val="009006E7"/>
    <w:rsid w:val="00902DB9"/>
    <w:rsid w:val="00910018"/>
    <w:rsid w:val="00912D1E"/>
    <w:rsid w:val="009205E0"/>
    <w:rsid w:val="0092263B"/>
    <w:rsid w:val="00923BA8"/>
    <w:rsid w:val="00924CCC"/>
    <w:rsid w:val="00925749"/>
    <w:rsid w:val="00927FB6"/>
    <w:rsid w:val="009330D0"/>
    <w:rsid w:val="00936773"/>
    <w:rsid w:val="00936897"/>
    <w:rsid w:val="0093720D"/>
    <w:rsid w:val="00937265"/>
    <w:rsid w:val="009375F7"/>
    <w:rsid w:val="009513B4"/>
    <w:rsid w:val="00957175"/>
    <w:rsid w:val="00957D58"/>
    <w:rsid w:val="009634EC"/>
    <w:rsid w:val="00964020"/>
    <w:rsid w:val="00964ADB"/>
    <w:rsid w:val="00967564"/>
    <w:rsid w:val="009715C5"/>
    <w:rsid w:val="00971878"/>
    <w:rsid w:val="00972023"/>
    <w:rsid w:val="00972D67"/>
    <w:rsid w:val="00983BC5"/>
    <w:rsid w:val="00983D8F"/>
    <w:rsid w:val="00987CEB"/>
    <w:rsid w:val="00990672"/>
    <w:rsid w:val="009933DF"/>
    <w:rsid w:val="00993D8B"/>
    <w:rsid w:val="009941A0"/>
    <w:rsid w:val="0099758C"/>
    <w:rsid w:val="00997C01"/>
    <w:rsid w:val="009A0939"/>
    <w:rsid w:val="009A5270"/>
    <w:rsid w:val="009A553B"/>
    <w:rsid w:val="009A5A38"/>
    <w:rsid w:val="009A7B80"/>
    <w:rsid w:val="009A7E92"/>
    <w:rsid w:val="009B1EF2"/>
    <w:rsid w:val="009B6AC0"/>
    <w:rsid w:val="009C2FD5"/>
    <w:rsid w:val="009C62FA"/>
    <w:rsid w:val="009C649B"/>
    <w:rsid w:val="009D43DD"/>
    <w:rsid w:val="009E0E56"/>
    <w:rsid w:val="009E2746"/>
    <w:rsid w:val="009E2A51"/>
    <w:rsid w:val="009E3B9F"/>
    <w:rsid w:val="009E6795"/>
    <w:rsid w:val="009E6B72"/>
    <w:rsid w:val="009F3AA2"/>
    <w:rsid w:val="009F60EF"/>
    <w:rsid w:val="009F7451"/>
    <w:rsid w:val="009F75BA"/>
    <w:rsid w:val="00A00971"/>
    <w:rsid w:val="00A0269E"/>
    <w:rsid w:val="00A029F2"/>
    <w:rsid w:val="00A045D8"/>
    <w:rsid w:val="00A050D7"/>
    <w:rsid w:val="00A071D7"/>
    <w:rsid w:val="00A1069B"/>
    <w:rsid w:val="00A11854"/>
    <w:rsid w:val="00A14C1B"/>
    <w:rsid w:val="00A172DA"/>
    <w:rsid w:val="00A17845"/>
    <w:rsid w:val="00A23AF4"/>
    <w:rsid w:val="00A24BF7"/>
    <w:rsid w:val="00A27963"/>
    <w:rsid w:val="00A302CC"/>
    <w:rsid w:val="00A3188A"/>
    <w:rsid w:val="00A3255F"/>
    <w:rsid w:val="00A35E64"/>
    <w:rsid w:val="00A40973"/>
    <w:rsid w:val="00A40DD0"/>
    <w:rsid w:val="00A42F68"/>
    <w:rsid w:val="00A4322F"/>
    <w:rsid w:val="00A46D06"/>
    <w:rsid w:val="00A50203"/>
    <w:rsid w:val="00A52C11"/>
    <w:rsid w:val="00A52E13"/>
    <w:rsid w:val="00A55E93"/>
    <w:rsid w:val="00A62D2D"/>
    <w:rsid w:val="00A67C3E"/>
    <w:rsid w:val="00A71075"/>
    <w:rsid w:val="00A73FF2"/>
    <w:rsid w:val="00A91730"/>
    <w:rsid w:val="00A92356"/>
    <w:rsid w:val="00A93D0E"/>
    <w:rsid w:val="00A93E26"/>
    <w:rsid w:val="00A95381"/>
    <w:rsid w:val="00A95B0A"/>
    <w:rsid w:val="00A966C1"/>
    <w:rsid w:val="00A966D2"/>
    <w:rsid w:val="00A9776C"/>
    <w:rsid w:val="00AA038C"/>
    <w:rsid w:val="00AA2854"/>
    <w:rsid w:val="00AA5863"/>
    <w:rsid w:val="00AA5CD2"/>
    <w:rsid w:val="00AA77C3"/>
    <w:rsid w:val="00AA7F37"/>
    <w:rsid w:val="00AC10E1"/>
    <w:rsid w:val="00AC246B"/>
    <w:rsid w:val="00AC540E"/>
    <w:rsid w:val="00AC7780"/>
    <w:rsid w:val="00AD057B"/>
    <w:rsid w:val="00AD0B33"/>
    <w:rsid w:val="00AD33B2"/>
    <w:rsid w:val="00AD46B2"/>
    <w:rsid w:val="00AD55E7"/>
    <w:rsid w:val="00AD6444"/>
    <w:rsid w:val="00AE073C"/>
    <w:rsid w:val="00AE198A"/>
    <w:rsid w:val="00AE4612"/>
    <w:rsid w:val="00AE57B3"/>
    <w:rsid w:val="00AF1AB8"/>
    <w:rsid w:val="00AF2FCC"/>
    <w:rsid w:val="00AF31F4"/>
    <w:rsid w:val="00AF410B"/>
    <w:rsid w:val="00AF58F7"/>
    <w:rsid w:val="00AF6049"/>
    <w:rsid w:val="00AF6193"/>
    <w:rsid w:val="00B03D38"/>
    <w:rsid w:val="00B167F4"/>
    <w:rsid w:val="00B21326"/>
    <w:rsid w:val="00B26214"/>
    <w:rsid w:val="00B34234"/>
    <w:rsid w:val="00B34563"/>
    <w:rsid w:val="00B364CA"/>
    <w:rsid w:val="00B404E1"/>
    <w:rsid w:val="00B408BC"/>
    <w:rsid w:val="00B41128"/>
    <w:rsid w:val="00B4224E"/>
    <w:rsid w:val="00B45195"/>
    <w:rsid w:val="00B452BB"/>
    <w:rsid w:val="00B5170B"/>
    <w:rsid w:val="00B52975"/>
    <w:rsid w:val="00B55287"/>
    <w:rsid w:val="00B57574"/>
    <w:rsid w:val="00B67451"/>
    <w:rsid w:val="00B6758D"/>
    <w:rsid w:val="00B71702"/>
    <w:rsid w:val="00B75909"/>
    <w:rsid w:val="00B76CB4"/>
    <w:rsid w:val="00B800D2"/>
    <w:rsid w:val="00B85702"/>
    <w:rsid w:val="00B86091"/>
    <w:rsid w:val="00B937E0"/>
    <w:rsid w:val="00B95443"/>
    <w:rsid w:val="00B95891"/>
    <w:rsid w:val="00B97873"/>
    <w:rsid w:val="00B97ECB"/>
    <w:rsid w:val="00BA08BD"/>
    <w:rsid w:val="00BA1532"/>
    <w:rsid w:val="00BA25DC"/>
    <w:rsid w:val="00BA37ED"/>
    <w:rsid w:val="00BA4722"/>
    <w:rsid w:val="00BB7D1A"/>
    <w:rsid w:val="00BC0579"/>
    <w:rsid w:val="00BC1ABB"/>
    <w:rsid w:val="00BC2A21"/>
    <w:rsid w:val="00BC3483"/>
    <w:rsid w:val="00BC7338"/>
    <w:rsid w:val="00BD11AA"/>
    <w:rsid w:val="00BD215D"/>
    <w:rsid w:val="00BD7312"/>
    <w:rsid w:val="00BD7C26"/>
    <w:rsid w:val="00BD7E91"/>
    <w:rsid w:val="00BE0CD5"/>
    <w:rsid w:val="00BE1B5D"/>
    <w:rsid w:val="00BE7A89"/>
    <w:rsid w:val="00BF19F0"/>
    <w:rsid w:val="00BF4EEF"/>
    <w:rsid w:val="00C0657C"/>
    <w:rsid w:val="00C06AFF"/>
    <w:rsid w:val="00C079FE"/>
    <w:rsid w:val="00C11696"/>
    <w:rsid w:val="00C1535F"/>
    <w:rsid w:val="00C20A7C"/>
    <w:rsid w:val="00C22DDB"/>
    <w:rsid w:val="00C244A5"/>
    <w:rsid w:val="00C27C31"/>
    <w:rsid w:val="00C332E6"/>
    <w:rsid w:val="00C33CCA"/>
    <w:rsid w:val="00C405C6"/>
    <w:rsid w:val="00C41951"/>
    <w:rsid w:val="00C422EB"/>
    <w:rsid w:val="00C42416"/>
    <w:rsid w:val="00C4483D"/>
    <w:rsid w:val="00C46458"/>
    <w:rsid w:val="00C51C0D"/>
    <w:rsid w:val="00C55850"/>
    <w:rsid w:val="00C563C4"/>
    <w:rsid w:val="00C60723"/>
    <w:rsid w:val="00C638EE"/>
    <w:rsid w:val="00C63E9A"/>
    <w:rsid w:val="00C65DCE"/>
    <w:rsid w:val="00C677DC"/>
    <w:rsid w:val="00C71964"/>
    <w:rsid w:val="00C77759"/>
    <w:rsid w:val="00C77E97"/>
    <w:rsid w:val="00C81232"/>
    <w:rsid w:val="00C825E7"/>
    <w:rsid w:val="00C917B7"/>
    <w:rsid w:val="00CA14FF"/>
    <w:rsid w:val="00CA1E89"/>
    <w:rsid w:val="00CA42AE"/>
    <w:rsid w:val="00CB015E"/>
    <w:rsid w:val="00CB1865"/>
    <w:rsid w:val="00CB28E5"/>
    <w:rsid w:val="00CC2452"/>
    <w:rsid w:val="00CC2845"/>
    <w:rsid w:val="00CD0052"/>
    <w:rsid w:val="00CD071A"/>
    <w:rsid w:val="00CD0E9A"/>
    <w:rsid w:val="00CD3CE7"/>
    <w:rsid w:val="00CD49B6"/>
    <w:rsid w:val="00CD4ACA"/>
    <w:rsid w:val="00CD59A6"/>
    <w:rsid w:val="00CE0F71"/>
    <w:rsid w:val="00CE2920"/>
    <w:rsid w:val="00CE32FB"/>
    <w:rsid w:val="00CF0805"/>
    <w:rsid w:val="00CF2792"/>
    <w:rsid w:val="00CF2F1D"/>
    <w:rsid w:val="00CF35D5"/>
    <w:rsid w:val="00CF39B5"/>
    <w:rsid w:val="00CF511D"/>
    <w:rsid w:val="00CF7ECD"/>
    <w:rsid w:val="00D05BF6"/>
    <w:rsid w:val="00D115BC"/>
    <w:rsid w:val="00D2363F"/>
    <w:rsid w:val="00D24030"/>
    <w:rsid w:val="00D2539D"/>
    <w:rsid w:val="00D26055"/>
    <w:rsid w:val="00D27B18"/>
    <w:rsid w:val="00D3126F"/>
    <w:rsid w:val="00D32027"/>
    <w:rsid w:val="00D32DD6"/>
    <w:rsid w:val="00D32E98"/>
    <w:rsid w:val="00D41ECD"/>
    <w:rsid w:val="00D43753"/>
    <w:rsid w:val="00D44C4E"/>
    <w:rsid w:val="00D519BC"/>
    <w:rsid w:val="00D5303F"/>
    <w:rsid w:val="00D5397E"/>
    <w:rsid w:val="00D53A3A"/>
    <w:rsid w:val="00D555F6"/>
    <w:rsid w:val="00D55BE5"/>
    <w:rsid w:val="00D60980"/>
    <w:rsid w:val="00D61722"/>
    <w:rsid w:val="00D63CDA"/>
    <w:rsid w:val="00D646A1"/>
    <w:rsid w:val="00D64DA9"/>
    <w:rsid w:val="00D65440"/>
    <w:rsid w:val="00D70A5B"/>
    <w:rsid w:val="00D73A2E"/>
    <w:rsid w:val="00D76333"/>
    <w:rsid w:val="00D76B05"/>
    <w:rsid w:val="00D77938"/>
    <w:rsid w:val="00D82A71"/>
    <w:rsid w:val="00D90F00"/>
    <w:rsid w:val="00D94458"/>
    <w:rsid w:val="00DA4EDA"/>
    <w:rsid w:val="00DB2760"/>
    <w:rsid w:val="00DB2F80"/>
    <w:rsid w:val="00DB3E38"/>
    <w:rsid w:val="00DB447D"/>
    <w:rsid w:val="00DB4940"/>
    <w:rsid w:val="00DB6748"/>
    <w:rsid w:val="00DC0399"/>
    <w:rsid w:val="00DC2B69"/>
    <w:rsid w:val="00DC53E8"/>
    <w:rsid w:val="00DC5B12"/>
    <w:rsid w:val="00DC773E"/>
    <w:rsid w:val="00DD0723"/>
    <w:rsid w:val="00DD0B9F"/>
    <w:rsid w:val="00DD2DF4"/>
    <w:rsid w:val="00DD3C6C"/>
    <w:rsid w:val="00DD4D3C"/>
    <w:rsid w:val="00DD5EB5"/>
    <w:rsid w:val="00DD6954"/>
    <w:rsid w:val="00DD7859"/>
    <w:rsid w:val="00DE1F69"/>
    <w:rsid w:val="00DE2536"/>
    <w:rsid w:val="00DE3909"/>
    <w:rsid w:val="00DE4E1E"/>
    <w:rsid w:val="00DE692C"/>
    <w:rsid w:val="00DF0D3A"/>
    <w:rsid w:val="00DF3562"/>
    <w:rsid w:val="00DF77D5"/>
    <w:rsid w:val="00E007E3"/>
    <w:rsid w:val="00E00BF9"/>
    <w:rsid w:val="00E01130"/>
    <w:rsid w:val="00E021A0"/>
    <w:rsid w:val="00E128A1"/>
    <w:rsid w:val="00E14ACF"/>
    <w:rsid w:val="00E2018C"/>
    <w:rsid w:val="00E20AEC"/>
    <w:rsid w:val="00E226EF"/>
    <w:rsid w:val="00E25D8B"/>
    <w:rsid w:val="00E3697F"/>
    <w:rsid w:val="00E506AE"/>
    <w:rsid w:val="00E531C7"/>
    <w:rsid w:val="00E5797B"/>
    <w:rsid w:val="00E60B06"/>
    <w:rsid w:val="00E627D0"/>
    <w:rsid w:val="00E64611"/>
    <w:rsid w:val="00E64621"/>
    <w:rsid w:val="00E70883"/>
    <w:rsid w:val="00E71633"/>
    <w:rsid w:val="00E74C36"/>
    <w:rsid w:val="00E77A09"/>
    <w:rsid w:val="00E80600"/>
    <w:rsid w:val="00E829F3"/>
    <w:rsid w:val="00E82D85"/>
    <w:rsid w:val="00E856BB"/>
    <w:rsid w:val="00E90CB6"/>
    <w:rsid w:val="00E938FC"/>
    <w:rsid w:val="00E961B2"/>
    <w:rsid w:val="00E97A60"/>
    <w:rsid w:val="00EA00D3"/>
    <w:rsid w:val="00EA3133"/>
    <w:rsid w:val="00EB5586"/>
    <w:rsid w:val="00EC251F"/>
    <w:rsid w:val="00EC2688"/>
    <w:rsid w:val="00EC65B9"/>
    <w:rsid w:val="00ED0597"/>
    <w:rsid w:val="00ED12EC"/>
    <w:rsid w:val="00ED3134"/>
    <w:rsid w:val="00ED3F3D"/>
    <w:rsid w:val="00ED6714"/>
    <w:rsid w:val="00ED6E7A"/>
    <w:rsid w:val="00ED7105"/>
    <w:rsid w:val="00EE229F"/>
    <w:rsid w:val="00EE2BC8"/>
    <w:rsid w:val="00EF4D35"/>
    <w:rsid w:val="00EF6275"/>
    <w:rsid w:val="00EF62D8"/>
    <w:rsid w:val="00F006DE"/>
    <w:rsid w:val="00F05BD4"/>
    <w:rsid w:val="00F103A7"/>
    <w:rsid w:val="00F12E60"/>
    <w:rsid w:val="00F16B01"/>
    <w:rsid w:val="00F16F3F"/>
    <w:rsid w:val="00F170D2"/>
    <w:rsid w:val="00F22706"/>
    <w:rsid w:val="00F2374B"/>
    <w:rsid w:val="00F24A8B"/>
    <w:rsid w:val="00F26D05"/>
    <w:rsid w:val="00F32FF7"/>
    <w:rsid w:val="00F33DD9"/>
    <w:rsid w:val="00F37E4D"/>
    <w:rsid w:val="00F4239F"/>
    <w:rsid w:val="00F44A01"/>
    <w:rsid w:val="00F4527C"/>
    <w:rsid w:val="00F51982"/>
    <w:rsid w:val="00F52BF7"/>
    <w:rsid w:val="00F53B35"/>
    <w:rsid w:val="00F563C5"/>
    <w:rsid w:val="00F5732F"/>
    <w:rsid w:val="00F575C9"/>
    <w:rsid w:val="00F5779F"/>
    <w:rsid w:val="00F57884"/>
    <w:rsid w:val="00F6197E"/>
    <w:rsid w:val="00F62B5C"/>
    <w:rsid w:val="00F62B62"/>
    <w:rsid w:val="00F637CA"/>
    <w:rsid w:val="00F63BAA"/>
    <w:rsid w:val="00F66355"/>
    <w:rsid w:val="00F737C9"/>
    <w:rsid w:val="00F75AE7"/>
    <w:rsid w:val="00F75E2C"/>
    <w:rsid w:val="00F77583"/>
    <w:rsid w:val="00F80C95"/>
    <w:rsid w:val="00F84848"/>
    <w:rsid w:val="00F8511D"/>
    <w:rsid w:val="00F87C60"/>
    <w:rsid w:val="00F9007D"/>
    <w:rsid w:val="00F90AB2"/>
    <w:rsid w:val="00F91282"/>
    <w:rsid w:val="00F93897"/>
    <w:rsid w:val="00F95A40"/>
    <w:rsid w:val="00F97B76"/>
    <w:rsid w:val="00FA278D"/>
    <w:rsid w:val="00FA69F1"/>
    <w:rsid w:val="00FA6C10"/>
    <w:rsid w:val="00FA7691"/>
    <w:rsid w:val="00FB161E"/>
    <w:rsid w:val="00FB165E"/>
    <w:rsid w:val="00FB1688"/>
    <w:rsid w:val="00FB22D9"/>
    <w:rsid w:val="00FB744C"/>
    <w:rsid w:val="00FC1B96"/>
    <w:rsid w:val="00FC2A82"/>
    <w:rsid w:val="00FD514C"/>
    <w:rsid w:val="00FD7637"/>
    <w:rsid w:val="00FE2637"/>
    <w:rsid w:val="00FE4471"/>
    <w:rsid w:val="00FF07A1"/>
    <w:rsid w:val="00FF134C"/>
    <w:rsid w:val="00FF20F0"/>
    <w:rsid w:val="00FF5892"/>
    <w:rsid w:val="00FF6F8A"/>
    <w:rsid w:val="00FF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D705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single space,Footnote Text Char,Footnote Text Char1 Char1,Footnote Text Char Char Char1,Footnote Text Char1 Char Char,Footnote Text Char Char Char Char,Footnote Text Char Char1 Char,Footnote Text Char Char2,fn,footnote text,ft2,FOOTNOTES"/>
    <w:basedOn w:val="a"/>
    <w:link w:val="a4"/>
    <w:semiHidden/>
    <w:rsid w:val="002E2934"/>
    <w:rPr>
      <w:sz w:val="20"/>
      <w:szCs w:val="20"/>
    </w:rPr>
  </w:style>
  <w:style w:type="character" w:customStyle="1" w:styleId="a4">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3"/>
    <w:semiHidden/>
    <w:rsid w:val="002E2934"/>
    <w:rPr>
      <w:rFonts w:ascii="Times New Roman" w:eastAsia="Times New Roman" w:hAnsi="Times New Roman" w:cs="Times New Roman"/>
      <w:sz w:val="20"/>
      <w:szCs w:val="20"/>
      <w:lang w:eastAsia="ru-RU"/>
    </w:rPr>
  </w:style>
  <w:style w:type="character" w:styleId="a5">
    <w:name w:val="footnote reference"/>
    <w:aliases w:val="ftref,16 Point,Superscript 6 Point,Знак сноски-FN"/>
    <w:basedOn w:val="a0"/>
    <w:semiHidden/>
    <w:rsid w:val="002E2934"/>
    <w:rPr>
      <w:vertAlign w:val="superscript"/>
    </w:rPr>
  </w:style>
  <w:style w:type="paragraph" w:styleId="a6">
    <w:name w:val="List Paragraph"/>
    <w:basedOn w:val="a"/>
    <w:uiPriority w:val="34"/>
    <w:qFormat/>
    <w:rsid w:val="002E2934"/>
    <w:pPr>
      <w:ind w:left="720"/>
      <w:contextualSpacing/>
    </w:pPr>
  </w:style>
  <w:style w:type="paragraph" w:styleId="a7">
    <w:name w:val="Balloon Text"/>
    <w:basedOn w:val="a"/>
    <w:link w:val="a8"/>
    <w:uiPriority w:val="99"/>
    <w:semiHidden/>
    <w:unhideWhenUsed/>
    <w:rsid w:val="00E961B2"/>
    <w:rPr>
      <w:rFonts w:ascii="Tahoma" w:hAnsi="Tahoma" w:cs="Tahoma"/>
      <w:sz w:val="16"/>
      <w:szCs w:val="16"/>
    </w:rPr>
  </w:style>
  <w:style w:type="character" w:customStyle="1" w:styleId="a8">
    <w:name w:val="Текст выноски Знак"/>
    <w:basedOn w:val="a0"/>
    <w:link w:val="a7"/>
    <w:uiPriority w:val="99"/>
    <w:semiHidden/>
    <w:rsid w:val="00E961B2"/>
    <w:rPr>
      <w:rFonts w:ascii="Tahoma" w:eastAsia="Times New Roman" w:hAnsi="Tahoma" w:cs="Tahoma"/>
      <w:sz w:val="16"/>
      <w:szCs w:val="16"/>
      <w:lang w:eastAsia="ru-RU"/>
    </w:rPr>
  </w:style>
  <w:style w:type="character" w:styleId="a9">
    <w:name w:val="annotation reference"/>
    <w:basedOn w:val="a0"/>
    <w:uiPriority w:val="99"/>
    <w:semiHidden/>
    <w:rsid w:val="00993D8B"/>
    <w:rPr>
      <w:sz w:val="16"/>
      <w:szCs w:val="16"/>
    </w:rPr>
  </w:style>
  <w:style w:type="paragraph" w:styleId="aa">
    <w:name w:val="header"/>
    <w:basedOn w:val="a"/>
    <w:link w:val="ab"/>
    <w:uiPriority w:val="99"/>
    <w:semiHidden/>
    <w:unhideWhenUsed/>
    <w:rsid w:val="008A3708"/>
    <w:pPr>
      <w:tabs>
        <w:tab w:val="center" w:pos="4677"/>
        <w:tab w:val="right" w:pos="9355"/>
      </w:tabs>
    </w:pPr>
  </w:style>
  <w:style w:type="character" w:customStyle="1" w:styleId="ab">
    <w:name w:val="Верхний колонтитул Знак"/>
    <w:basedOn w:val="a0"/>
    <w:link w:val="aa"/>
    <w:uiPriority w:val="99"/>
    <w:semiHidden/>
    <w:rsid w:val="008A37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3708"/>
    <w:pPr>
      <w:tabs>
        <w:tab w:val="center" w:pos="4677"/>
        <w:tab w:val="right" w:pos="9355"/>
      </w:tabs>
    </w:pPr>
  </w:style>
  <w:style w:type="character" w:customStyle="1" w:styleId="ad">
    <w:name w:val="Нижний колонтитул Знак"/>
    <w:basedOn w:val="a0"/>
    <w:link w:val="ac"/>
    <w:uiPriority w:val="99"/>
    <w:rsid w:val="008A3708"/>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502710"/>
    <w:pPr>
      <w:spacing w:before="100" w:beforeAutospacing="1" w:after="100" w:afterAutospacing="1"/>
    </w:pPr>
  </w:style>
  <w:style w:type="character" w:styleId="af0">
    <w:name w:val="Hyperlink"/>
    <w:basedOn w:val="a0"/>
    <w:uiPriority w:val="99"/>
    <w:unhideWhenUsed/>
    <w:rsid w:val="00AD6444"/>
    <w:rPr>
      <w:color w:val="0000FF" w:themeColor="hyperlink"/>
      <w:u w:val="single"/>
    </w:rPr>
  </w:style>
  <w:style w:type="paragraph" w:styleId="af1">
    <w:name w:val="Body Text"/>
    <w:basedOn w:val="a"/>
    <w:link w:val="af2"/>
    <w:rsid w:val="001C215C"/>
    <w:pPr>
      <w:spacing w:after="120"/>
    </w:pPr>
  </w:style>
  <w:style w:type="character" w:customStyle="1" w:styleId="af2">
    <w:name w:val="Основной текст Знак"/>
    <w:basedOn w:val="a0"/>
    <w:link w:val="af1"/>
    <w:rsid w:val="001C215C"/>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847EC5"/>
    <w:pPr>
      <w:spacing w:after="120"/>
      <w:ind w:left="283"/>
    </w:pPr>
  </w:style>
  <w:style w:type="character" w:customStyle="1" w:styleId="af4">
    <w:name w:val="Основной текст с отступом Знак"/>
    <w:basedOn w:val="a0"/>
    <w:link w:val="af3"/>
    <w:uiPriority w:val="99"/>
    <w:semiHidden/>
    <w:rsid w:val="00847EC5"/>
    <w:rPr>
      <w:rFonts w:ascii="Times New Roman" w:eastAsia="Times New Roman" w:hAnsi="Times New Roman" w:cs="Times New Roman"/>
      <w:sz w:val="24"/>
      <w:szCs w:val="24"/>
      <w:lang w:eastAsia="ru-RU"/>
    </w:rPr>
  </w:style>
  <w:style w:type="table" w:styleId="af5">
    <w:name w:val="Table Grid"/>
    <w:basedOn w:val="a1"/>
    <w:uiPriority w:val="59"/>
    <w:rsid w:val="00315904"/>
    <w:pPr>
      <w:spacing w:after="0" w:afterAutospacing="1" w:line="240" w:lineRule="auto"/>
      <w:jc w:val="center"/>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 Spacing"/>
    <w:uiPriority w:val="1"/>
    <w:qFormat/>
    <w:rsid w:val="00FF6F8A"/>
    <w:pPr>
      <w:spacing w:after="0" w:line="240" w:lineRule="auto"/>
    </w:pPr>
    <w:rPr>
      <w:rFonts w:ascii="Times New Roman" w:hAnsi="Times New Roman" w:cs="Times New Roman"/>
      <w:sz w:val="24"/>
    </w:rPr>
  </w:style>
  <w:style w:type="character" w:customStyle="1" w:styleId="opacity">
    <w:name w:val="opacity"/>
    <w:basedOn w:val="a0"/>
    <w:rsid w:val="0041594F"/>
  </w:style>
  <w:style w:type="character" w:customStyle="1" w:styleId="40">
    <w:name w:val="Заголовок 4 Знак"/>
    <w:basedOn w:val="a0"/>
    <w:link w:val="4"/>
    <w:uiPriority w:val="9"/>
    <w:rsid w:val="008D7057"/>
    <w:rPr>
      <w:rFonts w:ascii="Times New Roman" w:eastAsia="Times New Roman" w:hAnsi="Times New Roman" w:cs="Times New Roman"/>
      <w:b/>
      <w:bCs/>
      <w:sz w:val="24"/>
      <w:szCs w:val="24"/>
      <w:lang w:eastAsia="ru-RU"/>
    </w:rPr>
  </w:style>
  <w:style w:type="paragraph" w:customStyle="1" w:styleId="normal">
    <w:name w:val="normal"/>
    <w:basedOn w:val="a"/>
    <w:rsid w:val="008D7057"/>
    <w:pPr>
      <w:spacing w:before="100" w:beforeAutospacing="1" w:after="100" w:afterAutospacing="1"/>
    </w:pPr>
  </w:style>
  <w:style w:type="paragraph" w:customStyle="1" w:styleId="Default">
    <w:name w:val="Default"/>
    <w:rsid w:val="008D7057"/>
    <w:pPr>
      <w:autoSpaceDE w:val="0"/>
      <w:autoSpaceDN w:val="0"/>
      <w:adjustRightInd w:val="0"/>
      <w:spacing w:after="0" w:line="240" w:lineRule="auto"/>
    </w:pPr>
    <w:rPr>
      <w:rFonts w:ascii="Arial" w:hAnsi="Arial" w:cs="Arial"/>
      <w:color w:val="000000"/>
      <w:sz w:val="24"/>
      <w:szCs w:val="24"/>
    </w:rPr>
  </w:style>
  <w:style w:type="character" w:styleId="HTML">
    <w:name w:val="HTML Cite"/>
    <w:basedOn w:val="a0"/>
    <w:uiPriority w:val="99"/>
    <w:semiHidden/>
    <w:unhideWhenUsed/>
    <w:rsid w:val="008D7057"/>
    <w:rPr>
      <w:i w:val="0"/>
      <w:iCs w:val="0"/>
      <w:color w:val="228822"/>
    </w:rPr>
  </w:style>
  <w:style w:type="character" w:styleId="af7">
    <w:name w:val="Emphasis"/>
    <w:basedOn w:val="a0"/>
    <w:uiPriority w:val="20"/>
    <w:qFormat/>
    <w:rsid w:val="008D7057"/>
    <w:rPr>
      <w:i/>
      <w:iCs/>
    </w:rPr>
  </w:style>
  <w:style w:type="paragraph" w:styleId="af8">
    <w:name w:val="annotation text"/>
    <w:basedOn w:val="a"/>
    <w:link w:val="af9"/>
    <w:uiPriority w:val="99"/>
    <w:semiHidden/>
    <w:unhideWhenUsed/>
    <w:rsid w:val="008D7057"/>
    <w:pPr>
      <w:spacing w:after="200"/>
    </w:pPr>
    <w:rPr>
      <w:rFonts w:eastAsia="Calibri"/>
      <w:sz w:val="20"/>
      <w:szCs w:val="20"/>
      <w:lang w:eastAsia="en-US"/>
    </w:rPr>
  </w:style>
  <w:style w:type="character" w:customStyle="1" w:styleId="af9">
    <w:name w:val="Текст примечания Знак"/>
    <w:basedOn w:val="a0"/>
    <w:link w:val="af8"/>
    <w:uiPriority w:val="99"/>
    <w:semiHidden/>
    <w:rsid w:val="008D7057"/>
    <w:rPr>
      <w:rFonts w:ascii="Times New Roman" w:eastAsia="Calibri" w:hAnsi="Times New Roman" w:cs="Times New Roman"/>
      <w:sz w:val="20"/>
      <w:szCs w:val="20"/>
    </w:rPr>
  </w:style>
  <w:style w:type="character" w:customStyle="1" w:styleId="FontStyle146">
    <w:name w:val="Font Style146"/>
    <w:basedOn w:val="a0"/>
    <w:uiPriority w:val="99"/>
    <w:rsid w:val="008D7057"/>
    <w:rPr>
      <w:rFonts w:ascii="Times New Roman" w:hAnsi="Times New Roman" w:cs="Times New Roman"/>
      <w:sz w:val="26"/>
      <w:szCs w:val="26"/>
    </w:rPr>
  </w:style>
  <w:style w:type="paragraph" w:customStyle="1" w:styleId="Style13">
    <w:name w:val="Style13"/>
    <w:basedOn w:val="a"/>
    <w:uiPriority w:val="99"/>
    <w:rsid w:val="008D7057"/>
    <w:pPr>
      <w:widowControl w:val="0"/>
      <w:autoSpaceDE w:val="0"/>
      <w:autoSpaceDN w:val="0"/>
      <w:adjustRightInd w:val="0"/>
      <w:spacing w:line="307" w:lineRule="exact"/>
      <w:ind w:firstLine="614"/>
      <w:jc w:val="both"/>
    </w:pPr>
  </w:style>
  <w:style w:type="character" w:customStyle="1" w:styleId="FontStyle106">
    <w:name w:val="Font Style106"/>
    <w:basedOn w:val="a0"/>
    <w:uiPriority w:val="99"/>
    <w:rsid w:val="008D7057"/>
    <w:rPr>
      <w:rFonts w:ascii="Times New Roman" w:hAnsi="Times New Roman" w:cs="Times New Roman"/>
      <w:b/>
      <w:bCs/>
      <w:sz w:val="26"/>
      <w:szCs w:val="26"/>
    </w:rPr>
  </w:style>
  <w:style w:type="paragraph" w:customStyle="1" w:styleId="Style3">
    <w:name w:val="Style3"/>
    <w:basedOn w:val="a"/>
    <w:uiPriority w:val="99"/>
    <w:rsid w:val="008D7057"/>
    <w:pPr>
      <w:widowControl w:val="0"/>
      <w:autoSpaceDE w:val="0"/>
      <w:autoSpaceDN w:val="0"/>
      <w:adjustRightInd w:val="0"/>
      <w:spacing w:line="278" w:lineRule="exact"/>
      <w:ind w:firstLine="538"/>
      <w:jc w:val="both"/>
    </w:pPr>
  </w:style>
  <w:style w:type="character" w:customStyle="1" w:styleId="FontStyle107">
    <w:name w:val="Font Style107"/>
    <w:basedOn w:val="a0"/>
    <w:uiPriority w:val="99"/>
    <w:rsid w:val="008D7057"/>
    <w:rPr>
      <w:rFonts w:ascii="Arial" w:hAnsi="Arial" w:cs="Arial"/>
      <w:sz w:val="22"/>
      <w:szCs w:val="22"/>
    </w:rPr>
  </w:style>
  <w:style w:type="paragraph" w:customStyle="1" w:styleId="Bodytext">
    <w:name w:val="Body text"/>
    <w:basedOn w:val="a"/>
    <w:next w:val="a"/>
    <w:rsid w:val="00EC251F"/>
    <w:pPr>
      <w:autoSpaceDE w:val="0"/>
      <w:autoSpaceDN w:val="0"/>
      <w:adjustRightInd w:val="0"/>
    </w:pPr>
    <w:rPr>
      <w:rFonts w:ascii="CPDABN+Arial" w:hAnsi="CPDABN+Arial"/>
      <w:lang w:val="en-US" w:eastAsia="en-US"/>
    </w:rPr>
  </w:style>
  <w:style w:type="character" w:customStyle="1" w:styleId="af">
    <w:name w:val="Обычный (веб) Знак"/>
    <w:basedOn w:val="a0"/>
    <w:link w:val="ae"/>
    <w:uiPriority w:val="99"/>
    <w:locked/>
    <w:rsid w:val="007133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832017">
      <w:bodyDiv w:val="1"/>
      <w:marLeft w:val="0"/>
      <w:marRight w:val="0"/>
      <w:marTop w:val="0"/>
      <w:marBottom w:val="0"/>
      <w:divBdr>
        <w:top w:val="none" w:sz="0" w:space="0" w:color="auto"/>
        <w:left w:val="none" w:sz="0" w:space="0" w:color="auto"/>
        <w:bottom w:val="none" w:sz="0" w:space="0" w:color="auto"/>
        <w:right w:val="none" w:sz="0" w:space="0" w:color="auto"/>
      </w:divBdr>
    </w:div>
    <w:div w:id="172964636">
      <w:bodyDiv w:val="1"/>
      <w:marLeft w:val="0"/>
      <w:marRight w:val="0"/>
      <w:marTop w:val="0"/>
      <w:marBottom w:val="0"/>
      <w:divBdr>
        <w:top w:val="none" w:sz="0" w:space="0" w:color="auto"/>
        <w:left w:val="none" w:sz="0" w:space="0" w:color="auto"/>
        <w:bottom w:val="none" w:sz="0" w:space="0" w:color="auto"/>
        <w:right w:val="none" w:sz="0" w:space="0" w:color="auto"/>
      </w:divBdr>
    </w:div>
    <w:div w:id="180366050">
      <w:bodyDiv w:val="1"/>
      <w:marLeft w:val="0"/>
      <w:marRight w:val="0"/>
      <w:marTop w:val="0"/>
      <w:marBottom w:val="0"/>
      <w:divBdr>
        <w:top w:val="none" w:sz="0" w:space="0" w:color="auto"/>
        <w:left w:val="none" w:sz="0" w:space="0" w:color="auto"/>
        <w:bottom w:val="none" w:sz="0" w:space="0" w:color="auto"/>
        <w:right w:val="none" w:sz="0" w:space="0" w:color="auto"/>
      </w:divBdr>
    </w:div>
    <w:div w:id="188421731">
      <w:bodyDiv w:val="1"/>
      <w:marLeft w:val="0"/>
      <w:marRight w:val="0"/>
      <w:marTop w:val="0"/>
      <w:marBottom w:val="0"/>
      <w:divBdr>
        <w:top w:val="none" w:sz="0" w:space="0" w:color="auto"/>
        <w:left w:val="none" w:sz="0" w:space="0" w:color="auto"/>
        <w:bottom w:val="none" w:sz="0" w:space="0" w:color="auto"/>
        <w:right w:val="none" w:sz="0" w:space="0" w:color="auto"/>
      </w:divBdr>
    </w:div>
    <w:div w:id="489710818">
      <w:bodyDiv w:val="1"/>
      <w:marLeft w:val="0"/>
      <w:marRight w:val="0"/>
      <w:marTop w:val="0"/>
      <w:marBottom w:val="0"/>
      <w:divBdr>
        <w:top w:val="none" w:sz="0" w:space="0" w:color="auto"/>
        <w:left w:val="none" w:sz="0" w:space="0" w:color="auto"/>
        <w:bottom w:val="none" w:sz="0" w:space="0" w:color="auto"/>
        <w:right w:val="none" w:sz="0" w:space="0" w:color="auto"/>
      </w:divBdr>
    </w:div>
    <w:div w:id="512916036">
      <w:bodyDiv w:val="1"/>
      <w:marLeft w:val="0"/>
      <w:marRight w:val="0"/>
      <w:marTop w:val="0"/>
      <w:marBottom w:val="0"/>
      <w:divBdr>
        <w:top w:val="none" w:sz="0" w:space="0" w:color="auto"/>
        <w:left w:val="none" w:sz="0" w:space="0" w:color="auto"/>
        <w:bottom w:val="none" w:sz="0" w:space="0" w:color="auto"/>
        <w:right w:val="none" w:sz="0" w:space="0" w:color="auto"/>
      </w:divBdr>
    </w:div>
    <w:div w:id="635381209">
      <w:bodyDiv w:val="1"/>
      <w:marLeft w:val="0"/>
      <w:marRight w:val="0"/>
      <w:marTop w:val="0"/>
      <w:marBottom w:val="0"/>
      <w:divBdr>
        <w:top w:val="none" w:sz="0" w:space="0" w:color="auto"/>
        <w:left w:val="none" w:sz="0" w:space="0" w:color="auto"/>
        <w:bottom w:val="none" w:sz="0" w:space="0" w:color="auto"/>
        <w:right w:val="none" w:sz="0" w:space="0" w:color="auto"/>
      </w:divBdr>
    </w:div>
    <w:div w:id="725615496">
      <w:bodyDiv w:val="1"/>
      <w:marLeft w:val="0"/>
      <w:marRight w:val="0"/>
      <w:marTop w:val="0"/>
      <w:marBottom w:val="0"/>
      <w:divBdr>
        <w:top w:val="none" w:sz="0" w:space="0" w:color="auto"/>
        <w:left w:val="none" w:sz="0" w:space="0" w:color="auto"/>
        <w:bottom w:val="none" w:sz="0" w:space="0" w:color="auto"/>
        <w:right w:val="none" w:sz="0" w:space="0" w:color="auto"/>
      </w:divBdr>
    </w:div>
    <w:div w:id="750782360">
      <w:bodyDiv w:val="1"/>
      <w:marLeft w:val="0"/>
      <w:marRight w:val="0"/>
      <w:marTop w:val="0"/>
      <w:marBottom w:val="0"/>
      <w:divBdr>
        <w:top w:val="none" w:sz="0" w:space="0" w:color="auto"/>
        <w:left w:val="none" w:sz="0" w:space="0" w:color="auto"/>
        <w:bottom w:val="none" w:sz="0" w:space="0" w:color="auto"/>
        <w:right w:val="none" w:sz="0" w:space="0" w:color="auto"/>
      </w:divBdr>
    </w:div>
    <w:div w:id="751974053">
      <w:bodyDiv w:val="1"/>
      <w:marLeft w:val="0"/>
      <w:marRight w:val="0"/>
      <w:marTop w:val="0"/>
      <w:marBottom w:val="0"/>
      <w:divBdr>
        <w:top w:val="none" w:sz="0" w:space="0" w:color="auto"/>
        <w:left w:val="none" w:sz="0" w:space="0" w:color="auto"/>
        <w:bottom w:val="none" w:sz="0" w:space="0" w:color="auto"/>
        <w:right w:val="none" w:sz="0" w:space="0" w:color="auto"/>
      </w:divBdr>
    </w:div>
    <w:div w:id="826936856">
      <w:bodyDiv w:val="1"/>
      <w:marLeft w:val="0"/>
      <w:marRight w:val="0"/>
      <w:marTop w:val="0"/>
      <w:marBottom w:val="0"/>
      <w:divBdr>
        <w:top w:val="none" w:sz="0" w:space="0" w:color="auto"/>
        <w:left w:val="none" w:sz="0" w:space="0" w:color="auto"/>
        <w:bottom w:val="none" w:sz="0" w:space="0" w:color="auto"/>
        <w:right w:val="none" w:sz="0" w:space="0" w:color="auto"/>
      </w:divBdr>
    </w:div>
    <w:div w:id="948702655">
      <w:bodyDiv w:val="1"/>
      <w:marLeft w:val="0"/>
      <w:marRight w:val="0"/>
      <w:marTop w:val="0"/>
      <w:marBottom w:val="0"/>
      <w:divBdr>
        <w:top w:val="none" w:sz="0" w:space="0" w:color="auto"/>
        <w:left w:val="none" w:sz="0" w:space="0" w:color="auto"/>
        <w:bottom w:val="none" w:sz="0" w:space="0" w:color="auto"/>
        <w:right w:val="none" w:sz="0" w:space="0" w:color="auto"/>
      </w:divBdr>
    </w:div>
    <w:div w:id="1083649462">
      <w:bodyDiv w:val="1"/>
      <w:marLeft w:val="0"/>
      <w:marRight w:val="0"/>
      <w:marTop w:val="0"/>
      <w:marBottom w:val="0"/>
      <w:divBdr>
        <w:top w:val="none" w:sz="0" w:space="0" w:color="auto"/>
        <w:left w:val="none" w:sz="0" w:space="0" w:color="auto"/>
        <w:bottom w:val="none" w:sz="0" w:space="0" w:color="auto"/>
        <w:right w:val="none" w:sz="0" w:space="0" w:color="auto"/>
      </w:divBdr>
    </w:div>
    <w:div w:id="1112356021">
      <w:bodyDiv w:val="1"/>
      <w:marLeft w:val="0"/>
      <w:marRight w:val="0"/>
      <w:marTop w:val="0"/>
      <w:marBottom w:val="0"/>
      <w:divBdr>
        <w:top w:val="none" w:sz="0" w:space="0" w:color="auto"/>
        <w:left w:val="none" w:sz="0" w:space="0" w:color="auto"/>
        <w:bottom w:val="none" w:sz="0" w:space="0" w:color="auto"/>
        <w:right w:val="none" w:sz="0" w:space="0" w:color="auto"/>
      </w:divBdr>
    </w:div>
    <w:div w:id="1117604900">
      <w:bodyDiv w:val="1"/>
      <w:marLeft w:val="0"/>
      <w:marRight w:val="0"/>
      <w:marTop w:val="0"/>
      <w:marBottom w:val="0"/>
      <w:divBdr>
        <w:top w:val="none" w:sz="0" w:space="0" w:color="auto"/>
        <w:left w:val="none" w:sz="0" w:space="0" w:color="auto"/>
        <w:bottom w:val="none" w:sz="0" w:space="0" w:color="auto"/>
        <w:right w:val="none" w:sz="0" w:space="0" w:color="auto"/>
      </w:divBdr>
    </w:div>
    <w:div w:id="1157309765">
      <w:bodyDiv w:val="1"/>
      <w:marLeft w:val="0"/>
      <w:marRight w:val="0"/>
      <w:marTop w:val="0"/>
      <w:marBottom w:val="0"/>
      <w:divBdr>
        <w:top w:val="none" w:sz="0" w:space="0" w:color="auto"/>
        <w:left w:val="none" w:sz="0" w:space="0" w:color="auto"/>
        <w:bottom w:val="none" w:sz="0" w:space="0" w:color="auto"/>
        <w:right w:val="none" w:sz="0" w:space="0" w:color="auto"/>
      </w:divBdr>
    </w:div>
    <w:div w:id="1189175538">
      <w:bodyDiv w:val="1"/>
      <w:marLeft w:val="0"/>
      <w:marRight w:val="0"/>
      <w:marTop w:val="0"/>
      <w:marBottom w:val="0"/>
      <w:divBdr>
        <w:top w:val="none" w:sz="0" w:space="0" w:color="auto"/>
        <w:left w:val="none" w:sz="0" w:space="0" w:color="auto"/>
        <w:bottom w:val="none" w:sz="0" w:space="0" w:color="auto"/>
        <w:right w:val="none" w:sz="0" w:space="0" w:color="auto"/>
      </w:divBdr>
    </w:div>
    <w:div w:id="1215850387">
      <w:bodyDiv w:val="1"/>
      <w:marLeft w:val="0"/>
      <w:marRight w:val="0"/>
      <w:marTop w:val="0"/>
      <w:marBottom w:val="0"/>
      <w:divBdr>
        <w:top w:val="none" w:sz="0" w:space="0" w:color="auto"/>
        <w:left w:val="none" w:sz="0" w:space="0" w:color="auto"/>
        <w:bottom w:val="none" w:sz="0" w:space="0" w:color="auto"/>
        <w:right w:val="none" w:sz="0" w:space="0" w:color="auto"/>
      </w:divBdr>
    </w:div>
    <w:div w:id="1224635516">
      <w:bodyDiv w:val="1"/>
      <w:marLeft w:val="0"/>
      <w:marRight w:val="0"/>
      <w:marTop w:val="0"/>
      <w:marBottom w:val="0"/>
      <w:divBdr>
        <w:top w:val="none" w:sz="0" w:space="0" w:color="auto"/>
        <w:left w:val="none" w:sz="0" w:space="0" w:color="auto"/>
        <w:bottom w:val="none" w:sz="0" w:space="0" w:color="auto"/>
        <w:right w:val="none" w:sz="0" w:space="0" w:color="auto"/>
      </w:divBdr>
    </w:div>
    <w:div w:id="1357464376">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 w:id="1592816851">
      <w:bodyDiv w:val="1"/>
      <w:marLeft w:val="0"/>
      <w:marRight w:val="0"/>
      <w:marTop w:val="0"/>
      <w:marBottom w:val="0"/>
      <w:divBdr>
        <w:top w:val="none" w:sz="0" w:space="0" w:color="auto"/>
        <w:left w:val="none" w:sz="0" w:space="0" w:color="auto"/>
        <w:bottom w:val="none" w:sz="0" w:space="0" w:color="auto"/>
        <w:right w:val="none" w:sz="0" w:space="0" w:color="auto"/>
      </w:divBdr>
    </w:div>
    <w:div w:id="1657026770">
      <w:bodyDiv w:val="1"/>
      <w:marLeft w:val="0"/>
      <w:marRight w:val="0"/>
      <w:marTop w:val="0"/>
      <w:marBottom w:val="0"/>
      <w:divBdr>
        <w:top w:val="none" w:sz="0" w:space="0" w:color="auto"/>
        <w:left w:val="none" w:sz="0" w:space="0" w:color="auto"/>
        <w:bottom w:val="none" w:sz="0" w:space="0" w:color="auto"/>
        <w:right w:val="none" w:sz="0" w:space="0" w:color="auto"/>
      </w:divBdr>
    </w:div>
    <w:div w:id="1774010402">
      <w:bodyDiv w:val="1"/>
      <w:marLeft w:val="0"/>
      <w:marRight w:val="0"/>
      <w:marTop w:val="0"/>
      <w:marBottom w:val="0"/>
      <w:divBdr>
        <w:top w:val="none" w:sz="0" w:space="0" w:color="auto"/>
        <w:left w:val="none" w:sz="0" w:space="0" w:color="auto"/>
        <w:bottom w:val="none" w:sz="0" w:space="0" w:color="auto"/>
        <w:right w:val="none" w:sz="0" w:space="0" w:color="auto"/>
      </w:divBdr>
    </w:div>
    <w:div w:id="1792817945">
      <w:bodyDiv w:val="1"/>
      <w:marLeft w:val="0"/>
      <w:marRight w:val="0"/>
      <w:marTop w:val="0"/>
      <w:marBottom w:val="0"/>
      <w:divBdr>
        <w:top w:val="none" w:sz="0" w:space="0" w:color="auto"/>
        <w:left w:val="none" w:sz="0" w:space="0" w:color="auto"/>
        <w:bottom w:val="none" w:sz="0" w:space="0" w:color="auto"/>
        <w:right w:val="none" w:sz="0" w:space="0" w:color="auto"/>
      </w:divBdr>
    </w:div>
    <w:div w:id="1958442094">
      <w:bodyDiv w:val="1"/>
      <w:marLeft w:val="0"/>
      <w:marRight w:val="0"/>
      <w:marTop w:val="0"/>
      <w:marBottom w:val="0"/>
      <w:divBdr>
        <w:top w:val="none" w:sz="0" w:space="0" w:color="auto"/>
        <w:left w:val="none" w:sz="0" w:space="0" w:color="auto"/>
        <w:bottom w:val="none" w:sz="0" w:space="0" w:color="auto"/>
        <w:right w:val="none" w:sz="0" w:space="0" w:color="auto"/>
      </w:divBdr>
    </w:div>
    <w:div w:id="2083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1.emf"/><Relationship Id="rId28" Type="http://schemas.openxmlformats.org/officeDocument/2006/relationships/chart" Target="charts/chart19.xml"/><Relationship Id="rId10" Type="http://schemas.openxmlformats.org/officeDocument/2006/relationships/footer" Target="footer1.xml"/><Relationship Id="rId19" Type="http://schemas.openxmlformats.org/officeDocument/2006/relationships/chart" Target="charts/chart11.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s>
</file>

<file path=word/_rels/footnotes.xml.rels><?xml version="1.0" encoding="UTF-8" standalone="yes"?>
<Relationships xmlns="http://schemas.openxmlformats.org/package/2006/relationships"><Relationship Id="rId8" Type="http://schemas.openxmlformats.org/officeDocument/2006/relationships/hyperlink" Target="http://bin.ua/88674-.html" TargetMode="External"/><Relationship Id="rId3" Type="http://schemas.openxmlformats.org/officeDocument/2006/relationships/hyperlink" Target="http://www.adb.org/Documents/Reports/Consultant/40038-REG/40038-04-REG-TACR.pdf" TargetMode="External"/><Relationship Id="rId7" Type="http://schemas.openxmlformats.org/officeDocument/2006/relationships/hyperlink" Target="http://www.itcp.kz/content/prognoz-socialno-ekonomicheskogo-razvitiya-respubliki-kazahstan-na-2010-2014-gody-chast-1" TargetMode="External"/><Relationship Id="rId2" Type="http://schemas.openxmlformats.org/officeDocument/2006/relationships/hyperlink" Target="http://www.work.ua/news/world/269/" TargetMode="External"/><Relationship Id="rId1" Type="http://schemas.openxmlformats.org/officeDocument/2006/relationships/hyperlink" Target="http://korrespondent.net/business/835335" TargetMode="External"/><Relationship Id="rId6" Type="http://schemas.openxmlformats.org/officeDocument/2006/relationships/hyperlink" Target="http://www.gks.ru/bgd/regl/b09_56/IssWWW.exe/Stg/02-06.htm" TargetMode="External"/><Relationship Id="rId5" Type="http://schemas.openxmlformats.org/officeDocument/2006/relationships/hyperlink" Target="http://www.cbr.ru/statistics/CrossBorder/print.asp?file=Personal_Remittances_CIS.htm" TargetMode="External"/><Relationship Id="rId4" Type="http://schemas.openxmlformats.org/officeDocument/2006/relationships/hyperlink" Target="http://www.cbr.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7;&#1075;&#1080;&#1086;&#1085;&#1099;-&#1044;&#1086;&#1082;&#1083;&#1072;&#1076;%20&#1086;%20&#1063;&#1056;-2010\&#1040;&#1085;&#1072;&#1083;&#1080;&#1079;\0-&#1056;&#1080;&#1089;&#1091;&#1085;&#1082;&#1080;-2%20&#1075;&#1083;&#1072;&#1074;&#1072;.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69;&#1082;&#1086;&#1085;&#1086;&#1084;&#1080;&#1095;&#1077;&#1089;&#1082;&#1072;&#1103;%20&#1089;&#1090;&#1072;&#1090;&#1080;&#1089;&#1090;&#1080;&#1082;&#1072;\0-&#1092;&#1072;&#1082;&#1090;&#1086;&#1088;&#1099;%20&#1088;&#1086;&#1089;&#1090;&#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69;&#1082;&#1086;&#1085;&#1086;&#1084;&#1080;&#1095;&#1077;&#1089;&#1082;&#1072;&#1103;%20&#1089;&#1090;&#1072;&#1090;&#1080;&#1089;&#1090;&#1080;&#1082;&#1072;\1-2-&#1054;&#1090;&#1088;&#1072;&#1089;&#1083;&#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69;&#1082;&#1086;&#1085;&#1086;&#1084;&#1080;&#1095;&#1077;&#1089;&#1082;&#1072;&#1103;%20&#1089;&#1090;&#1072;&#1090;&#1080;&#1089;&#1090;&#1080;&#1082;&#1072;\0-&#1092;&#1072;&#1082;&#1090;&#1086;&#1088;&#1099;%20&#1088;&#1086;&#1089;&#1090;&#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3-&#1057;&#1090;&#1088;&#1072;&#1093;&#1086;&#1074;&#1072;&#1085;&#1080;&#107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6;&#1080;&#1089;&#1091;&#1085;&#1082;&#1080;-2%20&#1075;&#1083;&#1072;&#1074;&#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069;&#1082;&#1086;&#1085;&#1086;&#1084;&#1080;&#1095;&#1077;&#1089;&#1082;&#1072;&#1103;%20&#1089;&#1090;&#1072;&#1090;&#1080;&#1089;&#1090;&#1080;&#1082;&#1072;\0-&#1092;&#1072;&#1082;&#1090;&#1086;&#1088;&#1099;%20&#1088;&#1086;&#1089;&#1090;&#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56;&#1080;&#1089;&#1091;&#1085;&#1082;&#1080;-2%20&#1075;&#1083;&#1072;&#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12139835070505"/>
          <c:y val="5.0925925925925951E-2"/>
          <c:w val="0.67888820992719801"/>
          <c:h val="0.65287620297463023"/>
        </c:manualLayout>
      </c:layout>
      <c:barChart>
        <c:barDir val="col"/>
        <c:grouping val="clustered"/>
        <c:ser>
          <c:idx val="0"/>
          <c:order val="0"/>
          <c:tx>
            <c:strRef>
              <c:f>'1-1'!$B$11</c:f>
              <c:strCache>
                <c:ptCount val="1"/>
                <c:pt idx="0">
                  <c:v>Регионы с высоким ЭИЧР</c:v>
                </c:pt>
              </c:strCache>
            </c:strRef>
          </c:tx>
          <c:dLbls>
            <c:txPr>
              <a:bodyPr/>
              <a:lstStyle/>
              <a:p>
                <a:pPr>
                  <a:defRPr sz="800" baseline="0"/>
                </a:pPr>
                <a:endParaRPr lang="ru-RU"/>
              </a:p>
            </c:txPr>
            <c:showVal val="1"/>
          </c:dLbls>
          <c:cat>
            <c:strRef>
              <c:f>'1-1'!$C$10:$E$10</c:f>
              <c:strCache>
                <c:ptCount val="3"/>
                <c:pt idx="0">
                  <c:v>Доля  лиц трудосопосбного возраста в численности населения</c:v>
                </c:pt>
                <c:pt idx="1">
                  <c:v>Доля экономически активного населения в числе лиц трудоспособного возраста</c:v>
                </c:pt>
                <c:pt idx="2">
                  <c:v>Доля занятых в числе лиц трудоспособного возраста</c:v>
                </c:pt>
              </c:strCache>
            </c:strRef>
          </c:cat>
          <c:val>
            <c:numRef>
              <c:f>'1-1'!$C$11:$E$11</c:f>
              <c:numCache>
                <c:formatCode>0%</c:formatCode>
                <c:ptCount val="3"/>
                <c:pt idx="0">
                  <c:v>0.5911879792728455</c:v>
                </c:pt>
                <c:pt idx="1">
                  <c:v>0.77599083883699416</c:v>
                </c:pt>
                <c:pt idx="2">
                  <c:v>0.76069702622311186</c:v>
                </c:pt>
              </c:numCache>
            </c:numRef>
          </c:val>
        </c:ser>
        <c:ser>
          <c:idx val="1"/>
          <c:order val="1"/>
          <c:tx>
            <c:strRef>
              <c:f>'1-1'!$B$12</c:f>
              <c:strCache>
                <c:ptCount val="1"/>
                <c:pt idx="0">
                  <c:v>Регионы с высоким ЭИЧР (без Ташкента)</c:v>
                </c:pt>
              </c:strCache>
            </c:strRef>
          </c:tx>
          <c:dLbls>
            <c:txPr>
              <a:bodyPr/>
              <a:lstStyle/>
              <a:p>
                <a:pPr>
                  <a:defRPr sz="800" baseline="0"/>
                </a:pPr>
                <a:endParaRPr lang="ru-RU"/>
              </a:p>
            </c:txPr>
            <c:showVal val="1"/>
          </c:dLbls>
          <c:cat>
            <c:strRef>
              <c:f>'1-1'!$C$10:$E$10</c:f>
              <c:strCache>
                <c:ptCount val="3"/>
                <c:pt idx="0">
                  <c:v>Доля  лиц трудосопосбного возраста в численности населения</c:v>
                </c:pt>
                <c:pt idx="1">
                  <c:v>Доля экономически активного населения в числе лиц трудоспособного возраста</c:v>
                </c:pt>
                <c:pt idx="2">
                  <c:v>Доля занятых в числе лиц трудоспособного возраста</c:v>
                </c:pt>
              </c:strCache>
            </c:strRef>
          </c:cat>
          <c:val>
            <c:numRef>
              <c:f>'1-1'!$C$12:$E$12</c:f>
              <c:numCache>
                <c:formatCode>0%</c:formatCode>
                <c:ptCount val="3"/>
                <c:pt idx="0">
                  <c:v>0.57280866585608492</c:v>
                </c:pt>
                <c:pt idx="1">
                  <c:v>0.76382617421172472</c:v>
                </c:pt>
                <c:pt idx="2">
                  <c:v>0.74735151094129904</c:v>
                </c:pt>
              </c:numCache>
            </c:numRef>
          </c:val>
        </c:ser>
        <c:ser>
          <c:idx val="2"/>
          <c:order val="2"/>
          <c:tx>
            <c:strRef>
              <c:f>'1-1'!$B$13</c:f>
              <c:strCache>
                <c:ptCount val="1"/>
                <c:pt idx="0">
                  <c:v>Регионы со средним и  низким ЭИЧР</c:v>
                </c:pt>
              </c:strCache>
            </c:strRef>
          </c:tx>
          <c:dLbls>
            <c:txPr>
              <a:bodyPr/>
              <a:lstStyle/>
              <a:p>
                <a:pPr>
                  <a:defRPr sz="800" baseline="0"/>
                </a:pPr>
                <a:endParaRPr lang="ru-RU"/>
              </a:p>
            </c:txPr>
            <c:showVal val="1"/>
          </c:dLbls>
          <c:cat>
            <c:strRef>
              <c:f>'1-1'!$C$10:$E$10</c:f>
              <c:strCache>
                <c:ptCount val="3"/>
                <c:pt idx="0">
                  <c:v>Доля  лиц трудосопосбного возраста в численности населения</c:v>
                </c:pt>
                <c:pt idx="1">
                  <c:v>Доля экономически активного населения в числе лиц трудоспособного возраста</c:v>
                </c:pt>
                <c:pt idx="2">
                  <c:v>Доля занятых в числе лиц трудоспособного возраста</c:v>
                </c:pt>
              </c:strCache>
            </c:strRef>
          </c:cat>
          <c:val>
            <c:numRef>
              <c:f>'1-1'!$C$13:$E$13</c:f>
              <c:numCache>
                <c:formatCode>0%</c:formatCode>
                <c:ptCount val="3"/>
                <c:pt idx="0">
                  <c:v>0.54194388349718559</c:v>
                </c:pt>
                <c:pt idx="1">
                  <c:v>0.68912524970723898</c:v>
                </c:pt>
                <c:pt idx="2">
                  <c:v>0.6720138458359165</c:v>
                </c:pt>
              </c:numCache>
            </c:numRef>
          </c:val>
        </c:ser>
        <c:axId val="172711936"/>
        <c:axId val="172713472"/>
      </c:barChart>
      <c:catAx>
        <c:axId val="172711936"/>
        <c:scaling>
          <c:orientation val="minMax"/>
        </c:scaling>
        <c:axPos val="b"/>
        <c:tickLblPos val="nextTo"/>
        <c:txPr>
          <a:bodyPr/>
          <a:lstStyle/>
          <a:p>
            <a:pPr>
              <a:defRPr sz="700" baseline="0"/>
            </a:pPr>
            <a:endParaRPr lang="ru-RU"/>
          </a:p>
        </c:txPr>
        <c:crossAx val="172713472"/>
        <c:crosses val="autoZero"/>
        <c:auto val="1"/>
        <c:lblAlgn val="ctr"/>
        <c:lblOffset val="100"/>
      </c:catAx>
      <c:valAx>
        <c:axId val="172713472"/>
        <c:scaling>
          <c:orientation val="minMax"/>
          <c:max val="0.8"/>
          <c:min val="0.4"/>
        </c:scaling>
        <c:axPos val="l"/>
        <c:majorGridlines/>
        <c:numFmt formatCode="0%" sourceLinked="0"/>
        <c:tickLblPos val="nextTo"/>
        <c:txPr>
          <a:bodyPr/>
          <a:lstStyle/>
          <a:p>
            <a:pPr>
              <a:defRPr sz="800" baseline="0"/>
            </a:pPr>
            <a:endParaRPr lang="ru-RU"/>
          </a:p>
        </c:txPr>
        <c:crossAx val="172711936"/>
        <c:crosses val="autoZero"/>
        <c:crossBetween val="between"/>
        <c:majorUnit val="0.2"/>
      </c:valAx>
    </c:plotArea>
    <c:legend>
      <c:legendPos val="r"/>
      <c:layout>
        <c:manualLayout>
          <c:xMode val="edge"/>
          <c:yMode val="edge"/>
          <c:x val="0.79083518107908368"/>
          <c:y val="4.6287182852143532E-2"/>
          <c:w val="0.19142645971914285"/>
          <c:h val="0.8009441528142317"/>
        </c:manualLayout>
      </c:layout>
      <c:txPr>
        <a:bodyPr/>
        <a:lstStyle/>
        <a:p>
          <a:pPr>
            <a:defRPr sz="900" baseline="0"/>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'1-5'!$C$22</c:f>
              <c:strCache>
                <c:ptCount val="1"/>
                <c:pt idx="0">
                  <c:v>ОИЧР</c:v>
                </c:pt>
              </c:strCache>
            </c:strRef>
          </c:tx>
          <c:spPr>
            <a:ln w="28575">
              <a:noFill/>
            </a:ln>
          </c:spPr>
          <c:dLbls>
            <c:dLbl>
              <c:idx val="0"/>
              <c:tx>
                <c:rich>
                  <a:bodyPr/>
                  <a:lstStyle/>
                  <a:p>
                    <a:pPr>
                      <a:defRPr sz="700" baseline="0"/>
                    </a:pPr>
                    <a:r>
                      <a:rPr lang="ru-RU" sz="700" baseline="0"/>
                      <a:t>Ташкент</a:t>
                    </a:r>
                  </a:p>
                </c:rich>
              </c:tx>
              <c:numFmt formatCode="@" sourceLinked="0"/>
              <c:spPr/>
              <c:showVal val="1"/>
            </c:dLbl>
            <c:dLbl>
              <c:idx val="1"/>
              <c:tx>
                <c:rich>
                  <a:bodyPr/>
                  <a:lstStyle/>
                  <a:p>
                    <a:pPr>
                      <a:defRPr sz="700" baseline="0"/>
                    </a:pPr>
                    <a:r>
                      <a:rPr lang="ru-RU" sz="700" baseline="0"/>
                      <a:t>Навоийская обл.</a:t>
                    </a:r>
                    <a:endParaRPr lang="en-US" sz="700" baseline="0"/>
                  </a:p>
                </c:rich>
              </c:tx>
              <c:numFmt formatCode="@" sourceLinked="0"/>
              <c:spPr/>
              <c:showVal val="1"/>
            </c:dLbl>
            <c:dLbl>
              <c:idx val="11"/>
              <c:tx>
                <c:rich>
                  <a:bodyPr/>
                  <a:lstStyle/>
                  <a:p>
                    <a:pPr>
                      <a:defRPr sz="700" baseline="0"/>
                    </a:pPr>
                    <a:r>
                      <a:rPr lang="ru-RU"/>
                      <a:t>Кашкадарьинская обл.</a:t>
                    </a:r>
                    <a:endParaRPr lang="en-US"/>
                  </a:p>
                </c:rich>
              </c:tx>
              <c:numFmt formatCode="@" sourceLinked="0"/>
              <c:spPr/>
              <c:dLblPos val="b"/>
              <c:showVal val="1"/>
            </c:dLbl>
            <c:dLbl>
              <c:idx val="13"/>
              <c:tx>
                <c:rich>
                  <a:bodyPr/>
                  <a:lstStyle/>
                  <a:p>
                    <a:pPr>
                      <a:defRPr sz="700" baseline="0"/>
                    </a:pPr>
                    <a:r>
                      <a:rPr lang="ru-RU" sz="700" baseline="0"/>
                      <a:t>Каракалпакстан</a:t>
                    </a:r>
                    <a:endParaRPr lang="en-US" sz="700" baseline="0"/>
                  </a:p>
                </c:rich>
              </c:tx>
              <c:numFmt formatCode="@" sourceLinked="0"/>
              <c:spPr/>
              <c:dLblPos val="l"/>
              <c:showVal val="1"/>
            </c:dLbl>
            <c:delete val="1"/>
          </c:dLbls>
          <c:trendline>
            <c:trendlineType val="linear"/>
          </c:trendline>
          <c:xVal>
            <c:numRef>
              <c:f>'1-5'!$B$23:$B$36</c:f>
              <c:numCache>
                <c:formatCode>General</c:formatCode>
                <c:ptCount val="14"/>
                <c:pt idx="0">
                  <c:v>0.70400000000000063</c:v>
                </c:pt>
                <c:pt idx="1">
                  <c:v>0.27</c:v>
                </c:pt>
                <c:pt idx="2">
                  <c:v>0.24900000000000044</c:v>
                </c:pt>
                <c:pt idx="3">
                  <c:v>0.23300000000000001</c:v>
                </c:pt>
                <c:pt idx="4">
                  <c:v>0.224</c:v>
                </c:pt>
                <c:pt idx="5">
                  <c:v>0.20100000000000001</c:v>
                </c:pt>
                <c:pt idx="6">
                  <c:v>0.18400000000000041</c:v>
                </c:pt>
                <c:pt idx="7">
                  <c:v>0.18100000000000024</c:v>
                </c:pt>
                <c:pt idx="8">
                  <c:v>0.18000000000000024</c:v>
                </c:pt>
                <c:pt idx="9">
                  <c:v>0.17600000000000021</c:v>
                </c:pt>
                <c:pt idx="10">
                  <c:v>0.16900000000000001</c:v>
                </c:pt>
                <c:pt idx="11">
                  <c:v>0.16800000000000001</c:v>
                </c:pt>
                <c:pt idx="12">
                  <c:v>0.15400000000000041</c:v>
                </c:pt>
                <c:pt idx="13">
                  <c:v>0.11799999999999998</c:v>
                </c:pt>
              </c:numCache>
            </c:numRef>
          </c:xVal>
          <c:yVal>
            <c:numRef>
              <c:f>'1-5'!$C$23:$C$36</c:f>
              <c:numCache>
                <c:formatCode>General</c:formatCode>
                <c:ptCount val="14"/>
                <c:pt idx="0">
                  <c:v>0.74820000000000064</c:v>
                </c:pt>
                <c:pt idx="1">
                  <c:v>0.37330000000000141</c:v>
                </c:pt>
                <c:pt idx="2">
                  <c:v>0.31150000000000105</c:v>
                </c:pt>
                <c:pt idx="3">
                  <c:v>0.25970000000000004</c:v>
                </c:pt>
                <c:pt idx="4">
                  <c:v>0.2606</c:v>
                </c:pt>
                <c:pt idx="5">
                  <c:v>0.34910000000000002</c:v>
                </c:pt>
                <c:pt idx="6">
                  <c:v>0.21150000000000024</c:v>
                </c:pt>
                <c:pt idx="7">
                  <c:v>0.18270000000000056</c:v>
                </c:pt>
                <c:pt idx="8">
                  <c:v>0.30270000000000002</c:v>
                </c:pt>
                <c:pt idx="9">
                  <c:v>0.1633</c:v>
                </c:pt>
                <c:pt idx="10">
                  <c:v>0.28880000000000106</c:v>
                </c:pt>
                <c:pt idx="11">
                  <c:v>0.14670000000000041</c:v>
                </c:pt>
                <c:pt idx="12">
                  <c:v>0.28970000000000001</c:v>
                </c:pt>
                <c:pt idx="13">
                  <c:v>0.26</c:v>
                </c:pt>
              </c:numCache>
            </c:numRef>
          </c:yVal>
        </c:ser>
        <c:axId val="190596608"/>
        <c:axId val="190598528"/>
      </c:scatterChart>
      <c:valAx>
        <c:axId val="190596608"/>
        <c:scaling>
          <c:orientation val="minMax"/>
        </c:scaling>
        <c:axPos val="b"/>
        <c:majorGridlines/>
        <c:minorGridlines/>
        <c:title>
          <c:tx>
            <c:rich>
              <a:bodyPr/>
              <a:lstStyle/>
              <a:p>
                <a:pPr>
                  <a:defRPr/>
                </a:pPr>
                <a:r>
                  <a:rPr lang="ru-RU"/>
                  <a:t>ЭИЧР</a:t>
                </a:r>
              </a:p>
            </c:rich>
          </c:tx>
        </c:title>
        <c:numFmt formatCode="0.0" sourceLinked="0"/>
        <c:tickLblPos val="nextTo"/>
        <c:crossAx val="190598528"/>
        <c:crosses val="autoZero"/>
        <c:crossBetween val="midCat"/>
      </c:valAx>
      <c:valAx>
        <c:axId val="190598528"/>
        <c:scaling>
          <c:orientation val="minMax"/>
        </c:scaling>
        <c:axPos val="l"/>
        <c:majorGridlines/>
        <c:minorGridlines/>
        <c:title>
          <c:tx>
            <c:rich>
              <a:bodyPr/>
              <a:lstStyle/>
              <a:p>
                <a:pPr>
                  <a:defRPr/>
                </a:pPr>
                <a:r>
                  <a:rPr lang="ru-RU"/>
                  <a:t>ОИЧР</a:t>
                </a:r>
              </a:p>
            </c:rich>
          </c:tx>
        </c:title>
        <c:numFmt formatCode="0.0" sourceLinked="0"/>
        <c:tickLblPos val="nextTo"/>
        <c:crossAx val="190596608"/>
        <c:crosses val="autoZero"/>
        <c:crossBetween val="midCat"/>
      </c:valAx>
    </c:plotArea>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234551965157368E-2"/>
          <c:y val="4.1699604450852086E-2"/>
          <c:w val="0.69831131764267174"/>
          <c:h val="0.45587253705963787"/>
        </c:manualLayout>
      </c:layout>
      <c:barChart>
        <c:barDir val="col"/>
        <c:grouping val="clustered"/>
        <c:ser>
          <c:idx val="0"/>
          <c:order val="0"/>
          <c:tx>
            <c:strRef>
              <c:f>'2-1'!$B$21</c:f>
              <c:strCache>
                <c:ptCount val="1"/>
                <c:pt idx="0">
                  <c:v>Регионы с высоким ЭИЧР</c:v>
                </c:pt>
              </c:strCache>
            </c:strRef>
          </c:tx>
          <c:cat>
            <c:strRef>
              <c:f>'2-1'!$C$20:$I$20</c:f>
              <c:strCache>
                <c:ptCount val="7"/>
                <c:pt idx="0">
                  <c:v>Промышленность</c:v>
                </c:pt>
                <c:pt idx="1">
                  <c:v>Сельское и лесное хозяйство</c:v>
                </c:pt>
                <c:pt idx="2">
                  <c:v>Строительство</c:v>
                </c:pt>
                <c:pt idx="3">
                  <c:v>Транспорт и связь</c:v>
                </c:pt>
                <c:pt idx="4">
                  <c:v>Торговля и общепит</c:v>
                </c:pt>
                <c:pt idx="5">
                  <c:v>Образование, культура, наука</c:v>
                </c:pt>
                <c:pt idx="6">
                  <c:v>Здравоохранение, спорт и соц. обеспечение</c:v>
                </c:pt>
              </c:strCache>
            </c:strRef>
          </c:cat>
          <c:val>
            <c:numRef>
              <c:f>'2-1'!$C$21:$I$21</c:f>
              <c:numCache>
                <c:formatCode>General</c:formatCode>
                <c:ptCount val="7"/>
                <c:pt idx="0" formatCode="0.0%">
                  <c:v>0.17911769022112495</c:v>
                </c:pt>
                <c:pt idx="2" formatCode="0.0%">
                  <c:v>9.3949564715183245E-2</c:v>
                </c:pt>
                <c:pt idx="3" formatCode="0.0%">
                  <c:v>5.8833275737191194E-2</c:v>
                </c:pt>
                <c:pt idx="4" formatCode="0.0%">
                  <c:v>9.9379381843486825E-2</c:v>
                </c:pt>
                <c:pt idx="5" formatCode="0.0%">
                  <c:v>0.13063278435530981</c:v>
                </c:pt>
                <c:pt idx="6" formatCode="0.0%">
                  <c:v>7.1652756803840173E-2</c:v>
                </c:pt>
              </c:numCache>
            </c:numRef>
          </c:val>
        </c:ser>
        <c:ser>
          <c:idx val="1"/>
          <c:order val="1"/>
          <c:tx>
            <c:strRef>
              <c:f>'2-1'!$B$22</c:f>
              <c:strCache>
                <c:ptCount val="1"/>
                <c:pt idx="0">
                  <c:v>Регионы с высоким ЭИЧР (без Ташкента)</c:v>
                </c:pt>
              </c:strCache>
            </c:strRef>
          </c:tx>
          <c:cat>
            <c:strRef>
              <c:f>'2-1'!$C$20:$I$20</c:f>
              <c:strCache>
                <c:ptCount val="7"/>
                <c:pt idx="0">
                  <c:v>Промышленность</c:v>
                </c:pt>
                <c:pt idx="1">
                  <c:v>Сельское и лесное хозяйство</c:v>
                </c:pt>
                <c:pt idx="2">
                  <c:v>Строительство</c:v>
                </c:pt>
                <c:pt idx="3">
                  <c:v>Транспорт и связь</c:v>
                </c:pt>
                <c:pt idx="4">
                  <c:v>Торговля и общепит</c:v>
                </c:pt>
                <c:pt idx="5">
                  <c:v>Образование, культура, наука</c:v>
                </c:pt>
                <c:pt idx="6">
                  <c:v>Здравоохранение, спорт и соц. обеспечение</c:v>
                </c:pt>
              </c:strCache>
            </c:strRef>
          </c:cat>
          <c:val>
            <c:numRef>
              <c:f>'2-1'!$C$22:$I$22</c:f>
              <c:numCache>
                <c:formatCode>0.0%</c:formatCode>
                <c:ptCount val="7"/>
                <c:pt idx="0">
                  <c:v>0.16324225230284883</c:v>
                </c:pt>
                <c:pt idx="1">
                  <c:v>0.31143773762725246</c:v>
                </c:pt>
                <c:pt idx="2">
                  <c:v>7.7609300464119485E-2</c:v>
                </c:pt>
                <c:pt idx="3">
                  <c:v>4.2467902166966824E-2</c:v>
                </c:pt>
                <c:pt idx="4">
                  <c:v>8.7446826365085828E-2</c:v>
                </c:pt>
                <c:pt idx="5">
                  <c:v>0.12384696321255897</c:v>
                </c:pt>
                <c:pt idx="6">
                  <c:v>6.8694849500054667E-2</c:v>
                </c:pt>
              </c:numCache>
            </c:numRef>
          </c:val>
        </c:ser>
        <c:ser>
          <c:idx val="2"/>
          <c:order val="2"/>
          <c:tx>
            <c:strRef>
              <c:f>'2-1'!$B$23</c:f>
              <c:strCache>
                <c:ptCount val="1"/>
                <c:pt idx="0">
                  <c:v>Регионы со средним и низким ЭИЧР</c:v>
                </c:pt>
              </c:strCache>
            </c:strRef>
          </c:tx>
          <c:cat>
            <c:strRef>
              <c:f>'2-1'!$C$20:$I$20</c:f>
              <c:strCache>
                <c:ptCount val="7"/>
                <c:pt idx="0">
                  <c:v>Промышленность</c:v>
                </c:pt>
                <c:pt idx="1">
                  <c:v>Сельское и лесное хозяйство</c:v>
                </c:pt>
                <c:pt idx="2">
                  <c:v>Строительство</c:v>
                </c:pt>
                <c:pt idx="3">
                  <c:v>Транспорт и связь</c:v>
                </c:pt>
                <c:pt idx="4">
                  <c:v>Торговля и общепит</c:v>
                </c:pt>
                <c:pt idx="5">
                  <c:v>Образование, культура, наука</c:v>
                </c:pt>
                <c:pt idx="6">
                  <c:v>Здравоохранение, спорт и соц. обеспечение</c:v>
                </c:pt>
              </c:strCache>
            </c:strRef>
          </c:cat>
          <c:val>
            <c:numRef>
              <c:f>'2-1'!$C$23:$I$23</c:f>
              <c:numCache>
                <c:formatCode>0.0%</c:formatCode>
                <c:ptCount val="7"/>
                <c:pt idx="0">
                  <c:v>0.10193798449612404</c:v>
                </c:pt>
                <c:pt idx="1">
                  <c:v>0.32457876865911839</c:v>
                </c:pt>
                <c:pt idx="2">
                  <c:v>7.6891536933820934E-2</c:v>
                </c:pt>
                <c:pt idx="3">
                  <c:v>4.1351143571016685E-2</c:v>
                </c:pt>
                <c:pt idx="4">
                  <c:v>9.0684861297971264E-2</c:v>
                </c:pt>
                <c:pt idx="5">
                  <c:v>0.14081299250432924</c:v>
                </c:pt>
                <c:pt idx="6">
                  <c:v>7.435774232814403E-2</c:v>
                </c:pt>
              </c:numCache>
            </c:numRef>
          </c:val>
        </c:ser>
        <c:axId val="191129088"/>
        <c:axId val="191130624"/>
      </c:barChart>
      <c:catAx>
        <c:axId val="191129088"/>
        <c:scaling>
          <c:orientation val="minMax"/>
        </c:scaling>
        <c:axPos val="b"/>
        <c:numFmt formatCode="General" sourceLinked="1"/>
        <c:tickLblPos val="nextTo"/>
        <c:txPr>
          <a:bodyPr/>
          <a:lstStyle/>
          <a:p>
            <a:pPr>
              <a:defRPr sz="800" baseline="0"/>
            </a:pPr>
            <a:endParaRPr lang="ru-RU"/>
          </a:p>
        </c:txPr>
        <c:crossAx val="191130624"/>
        <c:crosses val="autoZero"/>
        <c:auto val="1"/>
        <c:lblAlgn val="ctr"/>
        <c:lblOffset val="100"/>
      </c:catAx>
      <c:valAx>
        <c:axId val="191130624"/>
        <c:scaling>
          <c:orientation val="minMax"/>
        </c:scaling>
        <c:axPos val="l"/>
        <c:majorGridlines/>
        <c:numFmt formatCode="0%" sourceLinked="0"/>
        <c:tickLblPos val="nextTo"/>
        <c:crossAx val="191129088"/>
        <c:crosses val="autoZero"/>
        <c:crossBetween val="between"/>
      </c:valAx>
    </c:plotArea>
    <c:legend>
      <c:legendPos val="r"/>
      <c:layout>
        <c:manualLayout>
          <c:xMode val="edge"/>
          <c:yMode val="edge"/>
          <c:x val="0.80654647677237068"/>
          <c:y val="0.21361960740822891"/>
          <c:w val="0.17888157422945067"/>
          <c:h val="0.59153983216886663"/>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'Рисунки-5'!$B$41</c:f>
              <c:strCache>
                <c:ptCount val="1"/>
                <c:pt idx="0">
                  <c:v>Доля промышленности в ВРП в 2004 г., в %.</c:v>
                </c:pt>
              </c:strCache>
            </c:strRef>
          </c:tx>
          <c:dLbls>
            <c:showVal val="1"/>
          </c:dLbls>
          <c:cat>
            <c:strRef>
              <c:f>'Рисунки-5'!$A$42:$A$44</c:f>
              <c:strCache>
                <c:ptCount val="3"/>
                <c:pt idx="0">
                  <c:v>Регионы с высокими темпами ЭР</c:v>
                </c:pt>
                <c:pt idx="1">
                  <c:v>Регионы с высокими темпами ЭР (без Ташкента)</c:v>
                </c:pt>
                <c:pt idx="2">
                  <c:v>Регионы с низкими темпами ЭР</c:v>
                </c:pt>
              </c:strCache>
            </c:strRef>
          </c:cat>
          <c:val>
            <c:numRef>
              <c:f>'Рисунки-5'!$B$42:$B$44</c:f>
              <c:numCache>
                <c:formatCode>0.0%</c:formatCode>
                <c:ptCount val="3"/>
                <c:pt idx="0">
                  <c:v>0.23247773837939645</c:v>
                </c:pt>
                <c:pt idx="1">
                  <c:v>0.23941773033591002</c:v>
                </c:pt>
                <c:pt idx="2">
                  <c:v>0.13577294842685692</c:v>
                </c:pt>
              </c:numCache>
            </c:numRef>
          </c:val>
        </c:ser>
        <c:axId val="191161856"/>
        <c:axId val="191163392"/>
      </c:barChart>
      <c:catAx>
        <c:axId val="191161856"/>
        <c:scaling>
          <c:orientation val="minMax"/>
        </c:scaling>
        <c:axPos val="b"/>
        <c:tickLblPos val="nextTo"/>
        <c:crossAx val="191163392"/>
        <c:crosses val="autoZero"/>
        <c:auto val="1"/>
        <c:lblAlgn val="ctr"/>
        <c:lblOffset val="100"/>
      </c:catAx>
      <c:valAx>
        <c:axId val="191163392"/>
        <c:scaling>
          <c:orientation val="minMax"/>
        </c:scaling>
        <c:axPos val="l"/>
        <c:majorGridlines/>
        <c:numFmt formatCode="0.0%" sourceLinked="1"/>
        <c:tickLblPos val="nextTo"/>
        <c:crossAx val="19116185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580072983140884"/>
          <c:y val="3.7800677056937612E-2"/>
          <c:w val="0.47209572398578786"/>
          <c:h val="0.86150042982373298"/>
        </c:manualLayout>
      </c:layout>
      <c:barChart>
        <c:barDir val="bar"/>
        <c:grouping val="clustered"/>
        <c:ser>
          <c:idx val="0"/>
          <c:order val="0"/>
          <c:tx>
            <c:strRef>
              <c:f>'Пром-граф'!$G$2</c:f>
              <c:strCache>
                <c:ptCount val="1"/>
                <c:pt idx="0">
                  <c:v>Регионы с высоким уровнем ЭИЧР (без Ташкента)</c:v>
                </c:pt>
              </c:strCache>
            </c:strRef>
          </c:tx>
          <c:dLbls>
            <c:txPr>
              <a:bodyPr/>
              <a:lstStyle/>
              <a:p>
                <a:pPr>
                  <a:defRPr sz="700" baseline="0"/>
                </a:pPr>
                <a:endParaRPr lang="ru-RU"/>
              </a:p>
            </c:txPr>
            <c:showVal val="1"/>
          </c:dLbls>
          <c:cat>
            <c:strRef>
              <c:f>'Пром-граф'!$A$3:$F$12</c:f>
              <c:strCache>
                <c:ptCount val="10"/>
                <c:pt idx="0">
                  <c:v>Цветная металлургия</c:v>
                </c:pt>
                <c:pt idx="1">
                  <c:v>Машиностроение и металлообработка</c:v>
                </c:pt>
                <c:pt idx="2">
                  <c:v>Легкая промышленность</c:v>
                </c:pt>
                <c:pt idx="3">
                  <c:v>Электроэнергетика</c:v>
                </c:pt>
                <c:pt idx="4">
                  <c:v>Хмическая и нефтехимическая промышленность </c:v>
                </c:pt>
                <c:pt idx="5">
                  <c:v>Промышленность строительных материалов</c:v>
                </c:pt>
                <c:pt idx="6">
                  <c:v>Топливная промышленность</c:v>
                </c:pt>
                <c:pt idx="7">
                  <c:v>Пищевая промышленность</c:v>
                </c:pt>
                <c:pt idx="8">
                  <c:v>Черная металлургия</c:v>
                </c:pt>
                <c:pt idx="9">
                  <c:v>Мукомольно-крупяная и комбикормовая промышленность </c:v>
                </c:pt>
              </c:strCache>
            </c:strRef>
          </c:cat>
          <c:val>
            <c:numRef>
              <c:f>'Пром-граф'!$G$3:$G$12</c:f>
              <c:numCache>
                <c:formatCode>0.0%</c:formatCode>
                <c:ptCount val="10"/>
                <c:pt idx="0">
                  <c:v>0.33261601003765578</c:v>
                </c:pt>
                <c:pt idx="1">
                  <c:v>0.19891654775642692</c:v>
                </c:pt>
                <c:pt idx="2">
                  <c:v>0.10683707836024797</c:v>
                </c:pt>
                <c:pt idx="3">
                  <c:v>7.3754552924936434E-2</c:v>
                </c:pt>
                <c:pt idx="4">
                  <c:v>7.0071330841772153E-2</c:v>
                </c:pt>
                <c:pt idx="5">
                  <c:v>5.5500169013854607E-2</c:v>
                </c:pt>
                <c:pt idx="6">
                  <c:v>4.5413408427297013E-2</c:v>
                </c:pt>
                <c:pt idx="7">
                  <c:v>4.5063370675132559E-2</c:v>
                </c:pt>
                <c:pt idx="8">
                  <c:v>4.2271372677145445E-2</c:v>
                </c:pt>
                <c:pt idx="9">
                  <c:v>1.7005515250129343E-2</c:v>
                </c:pt>
              </c:numCache>
            </c:numRef>
          </c:val>
        </c:ser>
        <c:ser>
          <c:idx val="1"/>
          <c:order val="1"/>
          <c:tx>
            <c:strRef>
              <c:f>'Пром-граф'!$H$2</c:f>
              <c:strCache>
                <c:ptCount val="1"/>
                <c:pt idx="0">
                  <c:v>Регионы со средним уровнем ЭИЧР</c:v>
                </c:pt>
              </c:strCache>
            </c:strRef>
          </c:tx>
          <c:dLbls>
            <c:dLbl>
              <c:idx val="0"/>
              <c:delete val="1"/>
            </c:dLbl>
            <c:dLbl>
              <c:idx val="8"/>
              <c:delete val="1"/>
            </c:dLbl>
            <c:txPr>
              <a:bodyPr/>
              <a:lstStyle/>
              <a:p>
                <a:pPr>
                  <a:defRPr sz="700" baseline="0"/>
                </a:pPr>
                <a:endParaRPr lang="ru-RU"/>
              </a:p>
            </c:txPr>
            <c:showVal val="1"/>
          </c:dLbls>
          <c:cat>
            <c:strRef>
              <c:f>'Пром-граф'!$A$3:$F$12</c:f>
              <c:strCache>
                <c:ptCount val="10"/>
                <c:pt idx="0">
                  <c:v>Цветная металлургия</c:v>
                </c:pt>
                <c:pt idx="1">
                  <c:v>Машиностроение и металлообработка</c:v>
                </c:pt>
                <c:pt idx="2">
                  <c:v>Легкая промышленность</c:v>
                </c:pt>
                <c:pt idx="3">
                  <c:v>Электроэнергетика</c:v>
                </c:pt>
                <c:pt idx="4">
                  <c:v>Хмическая и нефтехимическая промышленность </c:v>
                </c:pt>
                <c:pt idx="5">
                  <c:v>Промышленность строительных материалов</c:v>
                </c:pt>
                <c:pt idx="6">
                  <c:v>Топливная промышленность</c:v>
                </c:pt>
                <c:pt idx="7">
                  <c:v>Пищевая промышленность</c:v>
                </c:pt>
                <c:pt idx="8">
                  <c:v>Черная металлургия</c:v>
                </c:pt>
                <c:pt idx="9">
                  <c:v>Мукомольно-крупяная и комбикормовая промышленность </c:v>
                </c:pt>
              </c:strCache>
            </c:strRef>
          </c:cat>
          <c:val>
            <c:numRef>
              <c:f>'Пром-граф'!$H$3:$H$12</c:f>
              <c:numCache>
                <c:formatCode>0.0%</c:formatCode>
                <c:ptCount val="10"/>
                <c:pt idx="0">
                  <c:v>2.4813890920454099E-4</c:v>
                </c:pt>
                <c:pt idx="1">
                  <c:v>3.5493034580367656E-2</c:v>
                </c:pt>
                <c:pt idx="2">
                  <c:v>0.30342959296891125</c:v>
                </c:pt>
                <c:pt idx="3">
                  <c:v>5.9763238455935584E-2</c:v>
                </c:pt>
                <c:pt idx="4">
                  <c:v>4.6948512243539207E-2</c:v>
                </c:pt>
                <c:pt idx="5">
                  <c:v>5.3579111713855765E-2</c:v>
                </c:pt>
                <c:pt idx="6">
                  <c:v>0.22427605509311052</c:v>
                </c:pt>
                <c:pt idx="7">
                  <c:v>0.16039760170621276</c:v>
                </c:pt>
                <c:pt idx="8">
                  <c:v>3.2336876314317836E-4</c:v>
                </c:pt>
                <c:pt idx="9">
                  <c:v>6.6525205061465295E-2</c:v>
                </c:pt>
              </c:numCache>
            </c:numRef>
          </c:val>
        </c:ser>
        <c:ser>
          <c:idx val="2"/>
          <c:order val="2"/>
          <c:tx>
            <c:strRef>
              <c:f>'Пром-граф'!$I$2</c:f>
              <c:strCache>
                <c:ptCount val="1"/>
                <c:pt idx="0">
                  <c:v>Регионы с низким уровнем ЭИЧР</c:v>
                </c:pt>
              </c:strCache>
            </c:strRef>
          </c:tx>
          <c:dLbls>
            <c:dLbl>
              <c:idx val="0"/>
              <c:delete val="1"/>
            </c:dLbl>
            <c:txPr>
              <a:bodyPr/>
              <a:lstStyle/>
              <a:p>
                <a:pPr>
                  <a:defRPr sz="700" baseline="0"/>
                </a:pPr>
                <a:endParaRPr lang="ru-RU"/>
              </a:p>
            </c:txPr>
            <c:showVal val="1"/>
          </c:dLbls>
          <c:cat>
            <c:strRef>
              <c:f>'Пром-граф'!$A$3:$F$12</c:f>
              <c:strCache>
                <c:ptCount val="10"/>
                <c:pt idx="0">
                  <c:v>Цветная металлургия</c:v>
                </c:pt>
                <c:pt idx="1">
                  <c:v>Машиностроение и металлообработка</c:v>
                </c:pt>
                <c:pt idx="2">
                  <c:v>Легкая промышленность</c:v>
                </c:pt>
                <c:pt idx="3">
                  <c:v>Электроэнергетика</c:v>
                </c:pt>
                <c:pt idx="4">
                  <c:v>Хмическая и нефтехимическая промышленность </c:v>
                </c:pt>
                <c:pt idx="5">
                  <c:v>Промышленность строительных материалов</c:v>
                </c:pt>
                <c:pt idx="6">
                  <c:v>Топливная промышленность</c:v>
                </c:pt>
                <c:pt idx="7">
                  <c:v>Пищевая промышленность</c:v>
                </c:pt>
                <c:pt idx="8">
                  <c:v>Черная металлургия</c:v>
                </c:pt>
                <c:pt idx="9">
                  <c:v>Мукомольно-крупяная и комбикормовая промышленность </c:v>
                </c:pt>
              </c:strCache>
            </c:strRef>
          </c:cat>
          <c:val>
            <c:numRef>
              <c:f>'Пром-граф'!$I$3:$I$12</c:f>
              <c:numCache>
                <c:formatCode>0.0%</c:formatCode>
                <c:ptCount val="10"/>
                <c:pt idx="0">
                  <c:v>1.0250267134041208E-5</c:v>
                </c:pt>
                <c:pt idx="1">
                  <c:v>1.2259693669078415E-2</c:v>
                </c:pt>
                <c:pt idx="2">
                  <c:v>0.17434878703269582</c:v>
                </c:pt>
                <c:pt idx="3">
                  <c:v>0.15805779666316774</c:v>
                </c:pt>
                <c:pt idx="4">
                  <c:v>5.8633180355918933E-3</c:v>
                </c:pt>
                <c:pt idx="5">
                  <c:v>1.1528424167875485E-2</c:v>
                </c:pt>
                <c:pt idx="6">
                  <c:v>0.51348077022747451</c:v>
                </c:pt>
                <c:pt idx="7">
                  <c:v>7.5601985486715526E-2</c:v>
                </c:pt>
                <c:pt idx="8">
                  <c:v>2.3147229681776452E-3</c:v>
                </c:pt>
                <c:pt idx="9">
                  <c:v>3.8140148398110016E-2</c:v>
                </c:pt>
              </c:numCache>
            </c:numRef>
          </c:val>
        </c:ser>
        <c:axId val="191260544"/>
        <c:axId val="191262080"/>
      </c:barChart>
      <c:catAx>
        <c:axId val="191260544"/>
        <c:scaling>
          <c:orientation val="minMax"/>
        </c:scaling>
        <c:axPos val="l"/>
        <c:tickLblPos val="nextTo"/>
        <c:txPr>
          <a:bodyPr/>
          <a:lstStyle/>
          <a:p>
            <a:pPr>
              <a:defRPr sz="800" baseline="0"/>
            </a:pPr>
            <a:endParaRPr lang="ru-RU"/>
          </a:p>
        </c:txPr>
        <c:crossAx val="191262080"/>
        <c:crosses val="autoZero"/>
        <c:auto val="1"/>
        <c:lblAlgn val="ctr"/>
        <c:lblOffset val="100"/>
      </c:catAx>
      <c:valAx>
        <c:axId val="191262080"/>
        <c:scaling>
          <c:orientation val="minMax"/>
        </c:scaling>
        <c:axPos val="b"/>
        <c:majorGridlines/>
        <c:numFmt formatCode="0%" sourceLinked="0"/>
        <c:tickLblPos val="nextTo"/>
        <c:txPr>
          <a:bodyPr/>
          <a:lstStyle/>
          <a:p>
            <a:pPr>
              <a:defRPr sz="800" baseline="0"/>
            </a:pPr>
            <a:endParaRPr lang="ru-RU"/>
          </a:p>
        </c:txPr>
        <c:crossAx val="191260544"/>
        <c:crosses val="autoZero"/>
        <c:crossBetween val="between"/>
      </c:valAx>
    </c:plotArea>
    <c:legend>
      <c:legendPos val="r"/>
      <c:layout>
        <c:manualLayout>
          <c:xMode val="edge"/>
          <c:yMode val="edge"/>
          <c:x val="0.86046059643352379"/>
          <c:y val="0.19415125844866768"/>
          <c:w val="0.12809448396930562"/>
          <c:h val="0.55671440952609563"/>
        </c:manualLayout>
      </c:layout>
      <c:txPr>
        <a:bodyPr/>
        <a:lstStyle/>
        <a:p>
          <a:pPr>
            <a:defRPr sz="800" baseline="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2688429571305078"/>
          <c:y val="5.0925925925925923E-2"/>
          <c:w val="0.47213385826771664"/>
          <c:h val="0.81341025080198259"/>
        </c:manualLayout>
      </c:layout>
      <c:barChart>
        <c:barDir val="bar"/>
        <c:grouping val="clustered"/>
        <c:ser>
          <c:idx val="0"/>
          <c:order val="0"/>
          <c:tx>
            <c:strRef>
              <c:f>'2-4'!$F$3</c:f>
              <c:strCache>
                <c:ptCount val="1"/>
                <c:pt idx="0">
                  <c:v>Продукция сельского хозяйства, на занятого, тыс.сум</c:v>
                </c:pt>
              </c:strCache>
            </c:strRef>
          </c:tx>
          <c:cat>
            <c:strRef>
              <c:f>'2-4'!$A$4:$E$10</c:f>
              <c:strCache>
                <c:ptCount val="7"/>
                <c:pt idx="0">
                  <c:v>Продукция животноводства</c:v>
                </c:pt>
                <c:pt idx="1">
                  <c:v>Производство хлопка </c:v>
                </c:pt>
                <c:pt idx="2">
                  <c:v>Производство зерновых культур</c:v>
                </c:pt>
                <c:pt idx="3">
                  <c:v>Производство овощей</c:v>
                </c:pt>
                <c:pt idx="4">
                  <c:v>Производство плодов и ягод</c:v>
                </c:pt>
                <c:pt idx="5">
                  <c:v>Произвосдтво картофеля</c:v>
                </c:pt>
                <c:pt idx="6">
                  <c:v>Производство винограда</c:v>
                </c:pt>
              </c:strCache>
            </c:strRef>
          </c:cat>
          <c:val>
            <c:numRef>
              <c:f>'2-4'!$F$4:$F$10</c:f>
            </c:numRef>
          </c:val>
        </c:ser>
        <c:ser>
          <c:idx val="1"/>
          <c:order val="1"/>
          <c:tx>
            <c:strRef>
              <c:f>'2-4'!$G$3</c:f>
              <c:strCache>
                <c:ptCount val="1"/>
                <c:pt idx="0">
                  <c:v>Регионы с высоким уровнем ЭИЧР</c:v>
                </c:pt>
              </c:strCache>
            </c:strRef>
          </c:tx>
          <c:dLbls>
            <c:txPr>
              <a:bodyPr/>
              <a:lstStyle/>
              <a:p>
                <a:pPr>
                  <a:defRPr sz="700" baseline="0"/>
                </a:pPr>
                <a:endParaRPr lang="ru-RU"/>
              </a:p>
            </c:txPr>
            <c:showVal val="1"/>
          </c:dLbls>
          <c:cat>
            <c:strRef>
              <c:f>'2-4'!$A$4:$E$10</c:f>
              <c:strCache>
                <c:ptCount val="7"/>
                <c:pt idx="0">
                  <c:v>Продукция животноводства</c:v>
                </c:pt>
                <c:pt idx="1">
                  <c:v>Производство хлопка </c:v>
                </c:pt>
                <c:pt idx="2">
                  <c:v>Производство зерновых культур</c:v>
                </c:pt>
                <c:pt idx="3">
                  <c:v>Производство овощей</c:v>
                </c:pt>
                <c:pt idx="4">
                  <c:v>Производство плодов и ягод</c:v>
                </c:pt>
                <c:pt idx="5">
                  <c:v>Произвосдтво картофеля</c:v>
                </c:pt>
                <c:pt idx="6">
                  <c:v>Производство винограда</c:v>
                </c:pt>
              </c:strCache>
            </c:strRef>
          </c:cat>
          <c:val>
            <c:numRef>
              <c:f>'2-4'!$G$4:$G$10</c:f>
              <c:numCache>
                <c:formatCode>0.0%</c:formatCode>
                <c:ptCount val="7"/>
                <c:pt idx="0">
                  <c:v>0.45398848855659385</c:v>
                </c:pt>
                <c:pt idx="1">
                  <c:v>0.13930212494387112</c:v>
                </c:pt>
                <c:pt idx="2">
                  <c:v>0.10588817839720924</c:v>
                </c:pt>
                <c:pt idx="3">
                  <c:v>0.11717359891692269</c:v>
                </c:pt>
                <c:pt idx="4">
                  <c:v>6.2932233460132533E-2</c:v>
                </c:pt>
                <c:pt idx="5">
                  <c:v>5.4729860028089029E-2</c:v>
                </c:pt>
                <c:pt idx="6">
                  <c:v>3.2081738337556294E-2</c:v>
                </c:pt>
              </c:numCache>
            </c:numRef>
          </c:val>
        </c:ser>
        <c:ser>
          <c:idx val="2"/>
          <c:order val="2"/>
          <c:tx>
            <c:strRef>
              <c:f>'2-4'!$H$3</c:f>
              <c:strCache>
                <c:ptCount val="1"/>
                <c:pt idx="0">
                  <c:v>Регионы со средним уровнем ЭИЧР</c:v>
                </c:pt>
              </c:strCache>
            </c:strRef>
          </c:tx>
          <c:dLbls>
            <c:txPr>
              <a:bodyPr/>
              <a:lstStyle/>
              <a:p>
                <a:pPr>
                  <a:defRPr sz="700" baseline="0"/>
                </a:pPr>
                <a:endParaRPr lang="ru-RU"/>
              </a:p>
            </c:txPr>
            <c:showVal val="1"/>
          </c:dLbls>
          <c:cat>
            <c:strRef>
              <c:f>'2-4'!$A$4:$E$10</c:f>
              <c:strCache>
                <c:ptCount val="7"/>
                <c:pt idx="0">
                  <c:v>Продукция животноводства</c:v>
                </c:pt>
                <c:pt idx="1">
                  <c:v>Производство хлопка </c:v>
                </c:pt>
                <c:pt idx="2">
                  <c:v>Производство зерновых культур</c:v>
                </c:pt>
                <c:pt idx="3">
                  <c:v>Производство овощей</c:v>
                </c:pt>
                <c:pt idx="4">
                  <c:v>Производство плодов и ягод</c:v>
                </c:pt>
                <c:pt idx="5">
                  <c:v>Произвосдтво картофеля</c:v>
                </c:pt>
                <c:pt idx="6">
                  <c:v>Производство винограда</c:v>
                </c:pt>
              </c:strCache>
            </c:strRef>
          </c:cat>
          <c:val>
            <c:numRef>
              <c:f>'2-4'!$H$4:$H$10</c:f>
              <c:numCache>
                <c:formatCode>0.0%</c:formatCode>
                <c:ptCount val="7"/>
                <c:pt idx="0">
                  <c:v>0.44756281829371586</c:v>
                </c:pt>
                <c:pt idx="1">
                  <c:v>0.13906073187770832</c:v>
                </c:pt>
                <c:pt idx="2">
                  <c:v>0.12823216981833671</c:v>
                </c:pt>
                <c:pt idx="3">
                  <c:v>8.1753503083761503E-2</c:v>
                </c:pt>
                <c:pt idx="4">
                  <c:v>5.2655342158327886E-2</c:v>
                </c:pt>
                <c:pt idx="5">
                  <c:v>6.576267568236939E-2</c:v>
                </c:pt>
                <c:pt idx="6">
                  <c:v>5.0724681701049434E-2</c:v>
                </c:pt>
              </c:numCache>
            </c:numRef>
          </c:val>
        </c:ser>
        <c:ser>
          <c:idx val="3"/>
          <c:order val="3"/>
          <c:tx>
            <c:strRef>
              <c:f>'2-4'!$I$3</c:f>
              <c:strCache>
                <c:ptCount val="1"/>
                <c:pt idx="0">
                  <c:v>Регионы с низким уровнем ЭИЧР</c:v>
                </c:pt>
              </c:strCache>
            </c:strRef>
          </c:tx>
          <c:dLbls>
            <c:txPr>
              <a:bodyPr/>
              <a:lstStyle/>
              <a:p>
                <a:pPr>
                  <a:defRPr sz="700" baseline="0"/>
                </a:pPr>
                <a:endParaRPr lang="ru-RU"/>
              </a:p>
            </c:txPr>
            <c:showVal val="1"/>
          </c:dLbls>
          <c:cat>
            <c:strRef>
              <c:f>'2-4'!$A$4:$E$10</c:f>
              <c:strCache>
                <c:ptCount val="7"/>
                <c:pt idx="0">
                  <c:v>Продукция животноводства</c:v>
                </c:pt>
                <c:pt idx="1">
                  <c:v>Производство хлопка </c:v>
                </c:pt>
                <c:pt idx="2">
                  <c:v>Производство зерновых культур</c:v>
                </c:pt>
                <c:pt idx="3">
                  <c:v>Производство овощей</c:v>
                </c:pt>
                <c:pt idx="4">
                  <c:v>Производство плодов и ягод</c:v>
                </c:pt>
                <c:pt idx="5">
                  <c:v>Произвосдтво картофеля</c:v>
                </c:pt>
                <c:pt idx="6">
                  <c:v>Производство винограда</c:v>
                </c:pt>
              </c:strCache>
            </c:strRef>
          </c:cat>
          <c:val>
            <c:numRef>
              <c:f>'2-4'!$I$4:$I$10</c:f>
              <c:numCache>
                <c:formatCode>0.0%</c:formatCode>
                <c:ptCount val="7"/>
                <c:pt idx="0">
                  <c:v>0.46814295912799181</c:v>
                </c:pt>
                <c:pt idx="1">
                  <c:v>0.22410054372262839</c:v>
                </c:pt>
                <c:pt idx="2">
                  <c:v>0.1632186437400589</c:v>
                </c:pt>
                <c:pt idx="3">
                  <c:v>4.7987211564271333E-2</c:v>
                </c:pt>
                <c:pt idx="4">
                  <c:v>2.0860695325518902E-2</c:v>
                </c:pt>
                <c:pt idx="5">
                  <c:v>2.5316231660597918E-2</c:v>
                </c:pt>
                <c:pt idx="6">
                  <c:v>1.3203368453515081E-2</c:v>
                </c:pt>
              </c:numCache>
            </c:numRef>
          </c:val>
        </c:ser>
        <c:axId val="191895808"/>
        <c:axId val="191909888"/>
      </c:barChart>
      <c:catAx>
        <c:axId val="191895808"/>
        <c:scaling>
          <c:orientation val="minMax"/>
        </c:scaling>
        <c:axPos val="l"/>
        <c:numFmt formatCode="General" sourceLinked="1"/>
        <c:tickLblPos val="nextTo"/>
        <c:txPr>
          <a:bodyPr/>
          <a:lstStyle/>
          <a:p>
            <a:pPr>
              <a:defRPr sz="800" baseline="0"/>
            </a:pPr>
            <a:endParaRPr lang="ru-RU"/>
          </a:p>
        </c:txPr>
        <c:crossAx val="191909888"/>
        <c:crosses val="autoZero"/>
        <c:auto val="1"/>
        <c:lblAlgn val="ctr"/>
        <c:lblOffset val="100"/>
      </c:catAx>
      <c:valAx>
        <c:axId val="191909888"/>
        <c:scaling>
          <c:orientation val="minMax"/>
        </c:scaling>
        <c:axPos val="b"/>
        <c:majorGridlines/>
        <c:numFmt formatCode="0%" sourceLinked="0"/>
        <c:tickLblPos val="nextTo"/>
        <c:txPr>
          <a:bodyPr/>
          <a:lstStyle/>
          <a:p>
            <a:pPr>
              <a:defRPr sz="800" baseline="0"/>
            </a:pPr>
            <a:endParaRPr lang="ru-RU"/>
          </a:p>
        </c:txPr>
        <c:crossAx val="191895808"/>
        <c:crosses val="autoZero"/>
        <c:crossBetween val="between"/>
      </c:valAx>
    </c:plotArea>
    <c:legend>
      <c:legendPos val="r"/>
      <c:layout>
        <c:manualLayout>
          <c:xMode val="edge"/>
          <c:yMode val="edge"/>
          <c:x val="0.82378193350832873"/>
          <c:y val="0.15276866433362496"/>
          <c:w val="0.15955139982502758"/>
          <c:h val="0.68983304170312043"/>
        </c:manualLayout>
      </c:layout>
      <c:txPr>
        <a:bodyPr/>
        <a:lstStyle/>
        <a:p>
          <a:pPr>
            <a:defRPr sz="800" baseline="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04883199371388"/>
          <c:y val="5.1400554097404488E-2"/>
          <c:w val="0.64421235287377165"/>
          <c:h val="0.68521580635753865"/>
        </c:manualLayout>
      </c:layout>
      <c:barChart>
        <c:barDir val="col"/>
        <c:grouping val="clustered"/>
        <c:ser>
          <c:idx val="0"/>
          <c:order val="0"/>
          <c:tx>
            <c:strRef>
              <c:f>'2-6'!$A$10</c:f>
              <c:strCache>
                <c:ptCount val="1"/>
                <c:pt idx="0">
                  <c:v>Регионы с низкой урожайностью</c:v>
                </c:pt>
              </c:strCache>
            </c:strRef>
          </c:tx>
          <c:dLbls>
            <c:txPr>
              <a:bodyPr/>
              <a:lstStyle/>
              <a:p>
                <a:pPr>
                  <a:defRPr sz="800" baseline="0"/>
                </a:pPr>
                <a:endParaRPr lang="ru-RU"/>
              </a:p>
            </c:txPr>
            <c:showVal val="1"/>
          </c:dLbls>
          <c:cat>
            <c:strRef>
              <c:f>'2-6'!$B$9:$D$9</c:f>
              <c:strCache>
                <c:ptCount val="3"/>
                <c:pt idx="0">
                  <c:v>Доля площади уборки картофеля</c:v>
                </c:pt>
                <c:pt idx="1">
                  <c:v>Доля площади уборки овощей</c:v>
                </c:pt>
                <c:pt idx="2">
                  <c:v>Доля площади уборки плодов и ягод</c:v>
                </c:pt>
              </c:strCache>
            </c:strRef>
          </c:cat>
          <c:val>
            <c:numRef>
              <c:f>'2-6'!$B$10:$D$10</c:f>
              <c:numCache>
                <c:formatCode>0.0%</c:formatCode>
                <c:ptCount val="3"/>
                <c:pt idx="0">
                  <c:v>1.1285989233760703E-2</c:v>
                </c:pt>
                <c:pt idx="1">
                  <c:v>3.6896099606657795E-2</c:v>
                </c:pt>
                <c:pt idx="2">
                  <c:v>3.9333815544915413E-2</c:v>
                </c:pt>
              </c:numCache>
            </c:numRef>
          </c:val>
        </c:ser>
        <c:ser>
          <c:idx val="1"/>
          <c:order val="1"/>
          <c:tx>
            <c:strRef>
              <c:f>'2-6'!$A$11</c:f>
              <c:strCache>
                <c:ptCount val="1"/>
                <c:pt idx="0">
                  <c:v>Регионы с высокой урожайностью</c:v>
                </c:pt>
              </c:strCache>
            </c:strRef>
          </c:tx>
          <c:dLbls>
            <c:txPr>
              <a:bodyPr/>
              <a:lstStyle/>
              <a:p>
                <a:pPr>
                  <a:defRPr sz="800" baseline="0"/>
                </a:pPr>
                <a:endParaRPr lang="ru-RU"/>
              </a:p>
            </c:txPr>
            <c:showVal val="1"/>
          </c:dLbls>
          <c:cat>
            <c:strRef>
              <c:f>'2-6'!$B$9:$D$9</c:f>
              <c:strCache>
                <c:ptCount val="3"/>
                <c:pt idx="0">
                  <c:v>Доля площади уборки картофеля</c:v>
                </c:pt>
                <c:pt idx="1">
                  <c:v>Доля площади уборки овощей</c:v>
                </c:pt>
                <c:pt idx="2">
                  <c:v>Доля площади уборки плодов и ягод</c:v>
                </c:pt>
              </c:strCache>
            </c:strRef>
          </c:cat>
          <c:val>
            <c:numRef>
              <c:f>'2-6'!$B$11:$D$11</c:f>
              <c:numCache>
                <c:formatCode>0.0%</c:formatCode>
                <c:ptCount val="3"/>
                <c:pt idx="0">
                  <c:v>1.9465817635093641E-2</c:v>
                </c:pt>
                <c:pt idx="1">
                  <c:v>4.6664542301422855E-2</c:v>
                </c:pt>
                <c:pt idx="2">
                  <c:v>5.0534674284449514E-2</c:v>
                </c:pt>
              </c:numCache>
            </c:numRef>
          </c:val>
        </c:ser>
        <c:axId val="191927040"/>
        <c:axId val="191928576"/>
      </c:barChart>
      <c:catAx>
        <c:axId val="191927040"/>
        <c:scaling>
          <c:orientation val="minMax"/>
        </c:scaling>
        <c:axPos val="b"/>
        <c:numFmt formatCode="General" sourceLinked="1"/>
        <c:tickLblPos val="nextTo"/>
        <c:crossAx val="191928576"/>
        <c:crosses val="autoZero"/>
        <c:auto val="1"/>
        <c:lblAlgn val="ctr"/>
        <c:lblOffset val="100"/>
      </c:catAx>
      <c:valAx>
        <c:axId val="191928576"/>
        <c:scaling>
          <c:orientation val="minMax"/>
        </c:scaling>
        <c:axPos val="l"/>
        <c:majorGridlines/>
        <c:numFmt formatCode="0.0%" sourceLinked="1"/>
        <c:tickLblPos val="nextTo"/>
        <c:crossAx val="191927040"/>
        <c:crosses val="autoZero"/>
        <c:crossBetween val="between"/>
      </c:valAx>
    </c:plotArea>
    <c:legend>
      <c:legendPos val="r"/>
      <c:layout>
        <c:manualLayout>
          <c:xMode val="edge"/>
          <c:yMode val="edge"/>
          <c:x val="0.75248918209548465"/>
          <c:y val="0.23071376494604842"/>
          <c:w val="0.23087880127250207"/>
          <c:h val="0.52931321084864358"/>
        </c:manualLayout>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503768620037148"/>
          <c:y val="5.1400554097404488E-2"/>
          <c:w val="0.64697399990313964"/>
          <c:h val="0.74172061825606272"/>
        </c:manualLayout>
      </c:layout>
      <c:barChart>
        <c:barDir val="col"/>
        <c:grouping val="clustered"/>
        <c:ser>
          <c:idx val="0"/>
          <c:order val="0"/>
          <c:tx>
            <c:strRef>
              <c:f>'2-6'!$A$2</c:f>
              <c:strCache>
                <c:ptCount val="1"/>
                <c:pt idx="0">
                  <c:v>Регионы с низкой урожайностью</c:v>
                </c:pt>
              </c:strCache>
            </c:strRef>
          </c:tx>
          <c:dLbls>
            <c:txPr>
              <a:bodyPr/>
              <a:lstStyle/>
              <a:p>
                <a:pPr>
                  <a:defRPr sz="900" baseline="0"/>
                </a:pPr>
                <a:endParaRPr lang="ru-RU"/>
              </a:p>
            </c:txPr>
            <c:showVal val="1"/>
          </c:dLbls>
          <c:cat>
            <c:strRef>
              <c:f>'2-6'!$B$1:$C$1</c:f>
              <c:strCache>
                <c:ptCount val="2"/>
                <c:pt idx="0">
                  <c:v>Доля площади уборки зерновых культур</c:v>
                </c:pt>
                <c:pt idx="1">
                  <c:v>Доля площади уборки хлопчатника</c:v>
                </c:pt>
              </c:strCache>
            </c:strRef>
          </c:cat>
          <c:val>
            <c:numRef>
              <c:f>'2-6'!$B$2:$C$2</c:f>
              <c:numCache>
                <c:formatCode>0.0%</c:formatCode>
                <c:ptCount val="2"/>
                <c:pt idx="0">
                  <c:v>0.44722293139421876</c:v>
                </c:pt>
                <c:pt idx="1">
                  <c:v>0.36333323779223631</c:v>
                </c:pt>
              </c:numCache>
            </c:numRef>
          </c:val>
        </c:ser>
        <c:ser>
          <c:idx val="1"/>
          <c:order val="1"/>
          <c:tx>
            <c:strRef>
              <c:f>'2-6'!$A$3</c:f>
              <c:strCache>
                <c:ptCount val="1"/>
                <c:pt idx="0">
                  <c:v>Регионы с высокой урожайностью</c:v>
                </c:pt>
              </c:strCache>
            </c:strRef>
          </c:tx>
          <c:dLbls>
            <c:txPr>
              <a:bodyPr/>
              <a:lstStyle/>
              <a:p>
                <a:pPr>
                  <a:defRPr sz="900" baseline="0"/>
                </a:pPr>
                <a:endParaRPr lang="ru-RU"/>
              </a:p>
            </c:txPr>
            <c:showVal val="1"/>
          </c:dLbls>
          <c:cat>
            <c:strRef>
              <c:f>'2-6'!$B$1:$C$1</c:f>
              <c:strCache>
                <c:ptCount val="2"/>
                <c:pt idx="0">
                  <c:v>Доля площади уборки зерновых культур</c:v>
                </c:pt>
                <c:pt idx="1">
                  <c:v>Доля площади уборки хлопчатника</c:v>
                </c:pt>
              </c:strCache>
            </c:strRef>
          </c:cat>
          <c:val>
            <c:numRef>
              <c:f>'2-6'!$B$3:$C$3</c:f>
              <c:numCache>
                <c:formatCode>0.0%</c:formatCode>
                <c:ptCount val="2"/>
                <c:pt idx="0">
                  <c:v>0.41051608628432984</c:v>
                </c:pt>
                <c:pt idx="1">
                  <c:v>0.44493030882754847</c:v>
                </c:pt>
              </c:numCache>
            </c:numRef>
          </c:val>
        </c:ser>
        <c:axId val="191953920"/>
        <c:axId val="192054016"/>
      </c:barChart>
      <c:catAx>
        <c:axId val="191953920"/>
        <c:scaling>
          <c:orientation val="minMax"/>
        </c:scaling>
        <c:axPos val="b"/>
        <c:numFmt formatCode="General" sourceLinked="1"/>
        <c:tickLblPos val="nextTo"/>
        <c:crossAx val="192054016"/>
        <c:crosses val="autoZero"/>
        <c:auto val="1"/>
        <c:lblAlgn val="ctr"/>
        <c:lblOffset val="100"/>
      </c:catAx>
      <c:valAx>
        <c:axId val="192054016"/>
        <c:scaling>
          <c:orientation val="minMax"/>
          <c:max val="0.5"/>
          <c:min val="0.30000000000000032"/>
        </c:scaling>
        <c:axPos val="l"/>
        <c:majorGridlines/>
        <c:numFmt formatCode="0%" sourceLinked="0"/>
        <c:tickLblPos val="nextTo"/>
        <c:crossAx val="191953920"/>
        <c:crosses val="autoZero"/>
        <c:crossBetween val="between"/>
        <c:majorUnit val="0.1"/>
      </c:valAx>
    </c:plotArea>
    <c:legend>
      <c:legendPos val="r"/>
      <c:layout>
        <c:manualLayout>
          <c:xMode val="edge"/>
          <c:yMode val="edge"/>
          <c:x val="0.77478224902518489"/>
          <c:y val="0.17052857976086322"/>
          <c:w val="0.20859437344483286"/>
          <c:h val="0.6219058034412458"/>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'Рисунки-5'!$B$51</c:f>
              <c:strCache>
                <c:ptCount val="1"/>
                <c:pt idx="0">
                  <c:v>Экспорт на душу населения, в среднем за 2005-2008 гг., долл. США</c:v>
                </c:pt>
              </c:strCache>
            </c:strRef>
          </c:tx>
          <c:dLbls>
            <c:showVal val="1"/>
          </c:dLbls>
          <c:cat>
            <c:strRef>
              <c:f>'Рисунки-5'!$A$52:$A$54</c:f>
              <c:strCache>
                <c:ptCount val="3"/>
                <c:pt idx="0">
                  <c:v>Регионы с высокими темпами ЭР</c:v>
                </c:pt>
                <c:pt idx="1">
                  <c:v>Регионы с высокими темпами ЭР (без Ташкента)</c:v>
                </c:pt>
                <c:pt idx="2">
                  <c:v>Регионы с низкими темпами ЭР</c:v>
                </c:pt>
              </c:strCache>
            </c:strRef>
          </c:cat>
          <c:val>
            <c:numRef>
              <c:f>'Рисунки-5'!$B$52:$B$54</c:f>
              <c:numCache>
                <c:formatCode>0.0</c:formatCode>
                <c:ptCount val="3"/>
                <c:pt idx="0">
                  <c:v>354.37992458065071</c:v>
                </c:pt>
                <c:pt idx="1">
                  <c:v>244.03994552882432</c:v>
                </c:pt>
                <c:pt idx="2">
                  <c:v>87.605737062142296</c:v>
                </c:pt>
              </c:numCache>
            </c:numRef>
          </c:val>
        </c:ser>
        <c:axId val="192064512"/>
        <c:axId val="192074496"/>
      </c:barChart>
      <c:catAx>
        <c:axId val="192064512"/>
        <c:scaling>
          <c:orientation val="minMax"/>
        </c:scaling>
        <c:axPos val="b"/>
        <c:tickLblPos val="nextTo"/>
        <c:crossAx val="192074496"/>
        <c:crosses val="autoZero"/>
        <c:auto val="1"/>
        <c:lblAlgn val="ctr"/>
        <c:lblOffset val="100"/>
      </c:catAx>
      <c:valAx>
        <c:axId val="192074496"/>
        <c:scaling>
          <c:orientation val="minMax"/>
        </c:scaling>
        <c:axPos val="l"/>
        <c:majorGridlines/>
        <c:numFmt formatCode="0.0" sourceLinked="1"/>
        <c:tickLblPos val="nextTo"/>
        <c:crossAx val="192064512"/>
        <c:crosses val="autoZero"/>
        <c:crossBetween val="between"/>
        <c:majorUnit val="100"/>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550218722659672"/>
          <c:y val="5.1489955766738447E-2"/>
          <c:w val="0.63474912510936365"/>
          <c:h val="0.74127138948239468"/>
        </c:manualLayout>
      </c:layout>
      <c:barChart>
        <c:barDir val="col"/>
        <c:grouping val="clustered"/>
        <c:ser>
          <c:idx val="0"/>
          <c:order val="0"/>
          <c:tx>
            <c:strRef>
              <c:f>'3-1'!$B$29</c:f>
              <c:strCache>
                <c:ptCount val="1"/>
                <c:pt idx="0">
                  <c:v>Регионы с высоким ЭИЧР</c:v>
                </c:pt>
              </c:strCache>
            </c:strRef>
          </c:tx>
          <c:dLbls>
            <c:showVal val="1"/>
          </c:dLbls>
          <c:cat>
            <c:strRef>
              <c:f>'3-1'!$C$28:$D$28</c:f>
              <c:strCache>
                <c:ptCount val="2"/>
                <c:pt idx="0">
                  <c:v>ОФ на душу населения, млн. сум</c:v>
                </c:pt>
                <c:pt idx="1">
                  <c:v>ОФ на 1 занятого, млн. сум.</c:v>
                </c:pt>
              </c:strCache>
            </c:strRef>
          </c:cat>
          <c:val>
            <c:numRef>
              <c:f>'3-1'!$C$29:$D$29</c:f>
              <c:numCache>
                <c:formatCode>0.0</c:formatCode>
                <c:ptCount val="2"/>
                <c:pt idx="0">
                  <c:v>3.2617419784150252</c:v>
                </c:pt>
                <c:pt idx="1">
                  <c:v>7.1112984540055324</c:v>
                </c:pt>
              </c:numCache>
            </c:numRef>
          </c:val>
        </c:ser>
        <c:ser>
          <c:idx val="1"/>
          <c:order val="1"/>
          <c:tx>
            <c:strRef>
              <c:f>'3-1'!$B$30</c:f>
              <c:strCache>
                <c:ptCount val="1"/>
                <c:pt idx="0">
                  <c:v>Регионы с высоким ЭИЧР (без Ташкента)</c:v>
                </c:pt>
              </c:strCache>
            </c:strRef>
          </c:tx>
          <c:dLbls>
            <c:showVal val="1"/>
          </c:dLbls>
          <c:cat>
            <c:strRef>
              <c:f>'3-1'!$C$28:$D$28</c:f>
              <c:strCache>
                <c:ptCount val="2"/>
                <c:pt idx="0">
                  <c:v>ОФ на душу населения, млн. сум</c:v>
                </c:pt>
                <c:pt idx="1">
                  <c:v>ОФ на 1 занятого, млн. сум.</c:v>
                </c:pt>
              </c:strCache>
            </c:strRef>
          </c:cat>
          <c:val>
            <c:numRef>
              <c:f>'3-1'!$C$30:$D$30</c:f>
              <c:numCache>
                <c:formatCode>0.0</c:formatCode>
                <c:ptCount val="2"/>
                <c:pt idx="0">
                  <c:v>2.4757946556043442</c:v>
                </c:pt>
                <c:pt idx="1">
                  <c:v>5.6203097291016944</c:v>
                </c:pt>
              </c:numCache>
            </c:numRef>
          </c:val>
        </c:ser>
        <c:ser>
          <c:idx val="2"/>
          <c:order val="2"/>
          <c:tx>
            <c:strRef>
              <c:f>'3-1'!$B$31</c:f>
              <c:strCache>
                <c:ptCount val="1"/>
                <c:pt idx="0">
                  <c:v>Регионы со средним и низким ЭИЧР</c:v>
                </c:pt>
              </c:strCache>
            </c:strRef>
          </c:tx>
          <c:dLbls>
            <c:showVal val="1"/>
          </c:dLbls>
          <c:cat>
            <c:strRef>
              <c:f>'3-1'!$C$28:$D$28</c:f>
              <c:strCache>
                <c:ptCount val="2"/>
                <c:pt idx="0">
                  <c:v>ОФ на душу населения, млн. сум</c:v>
                </c:pt>
                <c:pt idx="1">
                  <c:v>ОФ на 1 занятого, млн. сум.</c:v>
                </c:pt>
              </c:strCache>
            </c:strRef>
          </c:cat>
          <c:val>
            <c:numRef>
              <c:f>'3-1'!$C$31:$D$31</c:f>
              <c:numCache>
                <c:formatCode>0.0</c:formatCode>
                <c:ptCount val="2"/>
                <c:pt idx="0">
                  <c:v>1.4801584967967332</c:v>
                </c:pt>
                <c:pt idx="1">
                  <c:v>3.9522368341586476</c:v>
                </c:pt>
              </c:numCache>
            </c:numRef>
          </c:val>
        </c:ser>
        <c:axId val="192112896"/>
        <c:axId val="192131072"/>
      </c:barChart>
      <c:catAx>
        <c:axId val="192112896"/>
        <c:scaling>
          <c:orientation val="minMax"/>
        </c:scaling>
        <c:axPos val="b"/>
        <c:numFmt formatCode="General" sourceLinked="1"/>
        <c:tickLblPos val="nextTo"/>
        <c:crossAx val="192131072"/>
        <c:crosses val="autoZero"/>
        <c:auto val="1"/>
        <c:lblAlgn val="ctr"/>
        <c:lblOffset val="100"/>
      </c:catAx>
      <c:valAx>
        <c:axId val="192131072"/>
        <c:scaling>
          <c:orientation val="minMax"/>
        </c:scaling>
        <c:axPos val="l"/>
        <c:majorGridlines/>
        <c:numFmt formatCode="0.0" sourceLinked="1"/>
        <c:tickLblPos val="nextTo"/>
        <c:crossAx val="192112896"/>
        <c:crosses val="autoZero"/>
        <c:crossBetween val="between"/>
      </c:valAx>
    </c:plotArea>
    <c:legend>
      <c:legendPos val="r"/>
      <c:layout>
        <c:manualLayout>
          <c:xMode val="edge"/>
          <c:yMode val="edge"/>
          <c:x val="0.74858464566929162"/>
          <c:y val="0.13246936117208913"/>
          <c:w val="0.23474868766404244"/>
          <c:h val="0.71651018445922499"/>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4.8535605180499965E-2"/>
          <c:w val="0.65279068241472427"/>
          <c:h val="0.69529676003614249"/>
        </c:manualLayout>
      </c:layout>
      <c:barChart>
        <c:barDir val="col"/>
        <c:grouping val="clustered"/>
        <c:ser>
          <c:idx val="0"/>
          <c:order val="0"/>
          <c:tx>
            <c:strRef>
              <c:f>'3-2'!$A$2</c:f>
              <c:strCache>
                <c:ptCount val="1"/>
                <c:pt idx="0">
                  <c:v>Регионы с высоким ЭИЧР</c:v>
                </c:pt>
              </c:strCache>
            </c:strRef>
          </c:tx>
          <c:dLbls>
            <c:txPr>
              <a:bodyPr/>
              <a:lstStyle/>
              <a:p>
                <a:pPr>
                  <a:defRPr sz="800" baseline="0"/>
                </a:pPr>
                <a:endParaRPr lang="ru-RU"/>
              </a:p>
            </c:txPr>
            <c:showVal val="1"/>
          </c:dLbls>
          <c:cat>
            <c:strRef>
              <c:f>'3-2'!$B$1:$D$1</c:f>
              <c:strCache>
                <c:ptCount val="3"/>
                <c:pt idx="0">
                  <c:v>Инвестиции в ОК из средств предприятий и населения</c:v>
                </c:pt>
                <c:pt idx="1">
                  <c:v>Инвестиции в ОК от иностранных инвестиций и кредитов </c:v>
                </c:pt>
                <c:pt idx="2">
                  <c:v>Государственные инвестиции в ОК</c:v>
                </c:pt>
              </c:strCache>
            </c:strRef>
          </c:cat>
          <c:val>
            <c:numRef>
              <c:f>'3-2'!$B$2:$D$2</c:f>
              <c:numCache>
                <c:formatCode>0.0</c:formatCode>
                <c:ptCount val="3"/>
                <c:pt idx="0">
                  <c:v>105.36319714974233</c:v>
                </c:pt>
                <c:pt idx="1">
                  <c:v>60.186005112048086</c:v>
                </c:pt>
                <c:pt idx="2">
                  <c:v>24.530716156806431</c:v>
                </c:pt>
              </c:numCache>
            </c:numRef>
          </c:val>
        </c:ser>
        <c:ser>
          <c:idx val="1"/>
          <c:order val="1"/>
          <c:tx>
            <c:strRef>
              <c:f>'3-2'!$A$3</c:f>
              <c:strCache>
                <c:ptCount val="1"/>
                <c:pt idx="0">
                  <c:v>Регионы с высоким ЭИЧР (без Ташкента)</c:v>
                </c:pt>
              </c:strCache>
            </c:strRef>
          </c:tx>
          <c:dLbls>
            <c:txPr>
              <a:bodyPr/>
              <a:lstStyle/>
              <a:p>
                <a:pPr>
                  <a:defRPr sz="800" baseline="0"/>
                </a:pPr>
                <a:endParaRPr lang="ru-RU"/>
              </a:p>
            </c:txPr>
            <c:showVal val="1"/>
          </c:dLbls>
          <c:cat>
            <c:strRef>
              <c:f>'3-2'!$B$1:$D$1</c:f>
              <c:strCache>
                <c:ptCount val="3"/>
                <c:pt idx="0">
                  <c:v>Инвестиции в ОК из средств предприятий и населения</c:v>
                </c:pt>
                <c:pt idx="1">
                  <c:v>Инвестиции в ОК от иностранных инвестиций и кредитов </c:v>
                </c:pt>
                <c:pt idx="2">
                  <c:v>Государственные инвестиции в ОК</c:v>
                </c:pt>
              </c:strCache>
            </c:strRef>
          </c:cat>
          <c:val>
            <c:numRef>
              <c:f>'3-2'!$B$3:$D$3</c:f>
              <c:numCache>
                <c:formatCode>0.0</c:formatCode>
                <c:ptCount val="3"/>
                <c:pt idx="0">
                  <c:v>96.701549903835925</c:v>
                </c:pt>
                <c:pt idx="1">
                  <c:v>36.128426386826163</c:v>
                </c:pt>
                <c:pt idx="2">
                  <c:v>18.802197747256091</c:v>
                </c:pt>
              </c:numCache>
            </c:numRef>
          </c:val>
        </c:ser>
        <c:ser>
          <c:idx val="2"/>
          <c:order val="2"/>
          <c:tx>
            <c:strRef>
              <c:f>'3-2'!$A$4</c:f>
              <c:strCache>
                <c:ptCount val="1"/>
                <c:pt idx="0">
                  <c:v>Регионы со средним и  низким ЭИЧР</c:v>
                </c:pt>
              </c:strCache>
            </c:strRef>
          </c:tx>
          <c:dLbls>
            <c:txPr>
              <a:bodyPr/>
              <a:lstStyle/>
              <a:p>
                <a:pPr>
                  <a:defRPr sz="800" baseline="0"/>
                </a:pPr>
                <a:endParaRPr lang="ru-RU"/>
              </a:p>
            </c:txPr>
            <c:showVal val="1"/>
          </c:dLbls>
          <c:cat>
            <c:strRef>
              <c:f>'3-2'!$B$1:$D$1</c:f>
              <c:strCache>
                <c:ptCount val="3"/>
                <c:pt idx="0">
                  <c:v>Инвестиции в ОК из средств предприятий и населения</c:v>
                </c:pt>
                <c:pt idx="1">
                  <c:v>Инвестиции в ОК от иностранных инвестиций и кредитов </c:v>
                </c:pt>
                <c:pt idx="2">
                  <c:v>Государственные инвестиции в ОК</c:v>
                </c:pt>
              </c:strCache>
            </c:strRef>
          </c:cat>
          <c:val>
            <c:numRef>
              <c:f>'3-2'!$B$4:$D$4</c:f>
              <c:numCache>
                <c:formatCode>0.0</c:formatCode>
                <c:ptCount val="3"/>
                <c:pt idx="0">
                  <c:v>65.168917633679158</c:v>
                </c:pt>
                <c:pt idx="1">
                  <c:v>20.630260246424328</c:v>
                </c:pt>
                <c:pt idx="2">
                  <c:v>21.314129259115493</c:v>
                </c:pt>
              </c:numCache>
            </c:numRef>
          </c:val>
        </c:ser>
        <c:axId val="192162816"/>
        <c:axId val="192180992"/>
      </c:barChart>
      <c:catAx>
        <c:axId val="192162816"/>
        <c:scaling>
          <c:orientation val="minMax"/>
        </c:scaling>
        <c:axPos val="b"/>
        <c:numFmt formatCode="General" sourceLinked="1"/>
        <c:tickLblPos val="nextTo"/>
        <c:txPr>
          <a:bodyPr/>
          <a:lstStyle/>
          <a:p>
            <a:pPr>
              <a:defRPr sz="800" baseline="0"/>
            </a:pPr>
            <a:endParaRPr lang="ru-RU"/>
          </a:p>
        </c:txPr>
        <c:crossAx val="192180992"/>
        <c:crosses val="autoZero"/>
        <c:auto val="1"/>
        <c:lblAlgn val="ctr"/>
        <c:lblOffset val="100"/>
      </c:catAx>
      <c:valAx>
        <c:axId val="192180992"/>
        <c:scaling>
          <c:orientation val="minMax"/>
        </c:scaling>
        <c:axPos val="l"/>
        <c:majorGridlines/>
        <c:numFmt formatCode="0" sourceLinked="0"/>
        <c:tickLblPos val="nextTo"/>
        <c:crossAx val="192162816"/>
        <c:crosses val="autoZero"/>
        <c:crossBetween val="between"/>
      </c:valAx>
    </c:plotArea>
    <c:legend>
      <c:legendPos val="r"/>
      <c:layout>
        <c:manualLayout>
          <c:xMode val="edge"/>
          <c:yMode val="edge"/>
          <c:x val="0.75969575678042689"/>
          <c:y val="0.17104358676476941"/>
          <c:w val="0.2236375765529309"/>
          <c:h val="0.6273113893550191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326950871230298E-2"/>
          <c:y val="4.8062855779391213E-2"/>
          <c:w val="0.6477963162093977"/>
          <c:h val="0.70565633841224396"/>
        </c:manualLayout>
      </c:layout>
      <c:barChart>
        <c:barDir val="col"/>
        <c:grouping val="clustered"/>
        <c:ser>
          <c:idx val="0"/>
          <c:order val="0"/>
          <c:tx>
            <c:strRef>
              <c:f>'1-1'!$B$17</c:f>
              <c:strCache>
                <c:ptCount val="1"/>
                <c:pt idx="0">
                  <c:v>Регионы с высоким ЭИЧР</c:v>
                </c:pt>
              </c:strCache>
            </c:strRef>
          </c:tx>
          <c:dLbls>
            <c:showVal val="1"/>
          </c:dLbls>
          <c:cat>
            <c:strRef>
              <c:f>'1-1'!$C$16:$D$16</c:f>
              <c:strCache>
                <c:ptCount val="2"/>
                <c:pt idx="0">
                  <c:v>Естественный прирост населения, на 1000 чел.</c:v>
                </c:pt>
                <c:pt idx="1">
                  <c:v>Общий коэффициент рождаемости, на 1000 чел. </c:v>
                </c:pt>
              </c:strCache>
            </c:strRef>
          </c:cat>
          <c:val>
            <c:numRef>
              <c:f>'1-1'!$C$17:$D$17</c:f>
              <c:numCache>
                <c:formatCode>0.0</c:formatCode>
                <c:ptCount val="2"/>
                <c:pt idx="0">
                  <c:v>10.632553638109426</c:v>
                </c:pt>
                <c:pt idx="1">
                  <c:v>19.867669430003282</c:v>
                </c:pt>
              </c:numCache>
            </c:numRef>
          </c:val>
        </c:ser>
        <c:ser>
          <c:idx val="1"/>
          <c:order val="1"/>
          <c:tx>
            <c:strRef>
              <c:f>'1-1'!$B$18</c:f>
              <c:strCache>
                <c:ptCount val="1"/>
                <c:pt idx="0">
                  <c:v>Регионы с высоким ЭИЧР (без Ташкента)</c:v>
                </c:pt>
              </c:strCache>
            </c:strRef>
          </c:tx>
          <c:dLbls>
            <c:showVal val="1"/>
          </c:dLbls>
          <c:cat>
            <c:strRef>
              <c:f>'1-1'!$C$16:$D$16</c:f>
              <c:strCache>
                <c:ptCount val="2"/>
                <c:pt idx="0">
                  <c:v>Естественный прирост населения, на 1000 чел.</c:v>
                </c:pt>
                <c:pt idx="1">
                  <c:v>Общий коэффициент рождаемости, на 1000 чел. </c:v>
                </c:pt>
              </c:strCache>
            </c:strRef>
          </c:cat>
          <c:val>
            <c:numRef>
              <c:f>'1-1'!$C$18:$D$18</c:f>
              <c:numCache>
                <c:formatCode>0.0</c:formatCode>
                <c:ptCount val="2"/>
                <c:pt idx="0">
                  <c:v>11.804473748203819</c:v>
                </c:pt>
                <c:pt idx="1">
                  <c:v>20.692448380678677</c:v>
                </c:pt>
              </c:numCache>
            </c:numRef>
          </c:val>
        </c:ser>
        <c:ser>
          <c:idx val="2"/>
          <c:order val="2"/>
          <c:tx>
            <c:strRef>
              <c:f>'1-1'!$B$19</c:f>
              <c:strCache>
                <c:ptCount val="1"/>
                <c:pt idx="0">
                  <c:v>Регионы со средним и низким ЭИЧР</c:v>
                </c:pt>
              </c:strCache>
            </c:strRef>
          </c:tx>
          <c:dLbls>
            <c:showVal val="1"/>
          </c:dLbls>
          <c:cat>
            <c:strRef>
              <c:f>'1-1'!$C$16:$D$16</c:f>
              <c:strCache>
                <c:ptCount val="2"/>
                <c:pt idx="0">
                  <c:v>Естественный прирост населения, на 1000 чел.</c:v>
                </c:pt>
                <c:pt idx="1">
                  <c:v>Общий коэффициент рождаемости, на 1000 чел. </c:v>
                </c:pt>
              </c:strCache>
            </c:strRef>
          </c:cat>
          <c:val>
            <c:numRef>
              <c:f>'1-1'!$C$19:$D$19</c:f>
              <c:numCache>
                <c:formatCode>0.0</c:formatCode>
                <c:ptCount val="2"/>
                <c:pt idx="0">
                  <c:v>13.9743673273206</c:v>
                </c:pt>
                <c:pt idx="1">
                  <c:v>22.613547337143487</c:v>
                </c:pt>
              </c:numCache>
            </c:numRef>
          </c:val>
        </c:ser>
        <c:axId val="172951808"/>
        <c:axId val="172974080"/>
      </c:barChart>
      <c:catAx>
        <c:axId val="172951808"/>
        <c:scaling>
          <c:orientation val="minMax"/>
        </c:scaling>
        <c:axPos val="b"/>
        <c:tickLblPos val="nextTo"/>
        <c:crossAx val="172974080"/>
        <c:crosses val="autoZero"/>
        <c:auto val="1"/>
        <c:lblAlgn val="ctr"/>
        <c:lblOffset val="100"/>
      </c:catAx>
      <c:valAx>
        <c:axId val="172974080"/>
        <c:scaling>
          <c:orientation val="minMax"/>
        </c:scaling>
        <c:axPos val="l"/>
        <c:majorGridlines/>
        <c:numFmt formatCode="0" sourceLinked="0"/>
        <c:tickLblPos val="nextTo"/>
        <c:crossAx val="172951808"/>
        <c:crosses val="autoZero"/>
        <c:crossBetween val="between"/>
      </c:valAx>
    </c:plotArea>
    <c:legend>
      <c:legendPos val="r"/>
      <c:layout>
        <c:manualLayout>
          <c:xMode val="edge"/>
          <c:yMode val="edge"/>
          <c:x val="0.74887069733024858"/>
          <c:y val="0.16558986944813719"/>
          <c:w val="0.23350815729531621"/>
          <c:h val="0.62985922214270385"/>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790156395741264E-2"/>
          <c:y val="4.8535605180499965E-2"/>
          <c:w val="0.67378560118003394"/>
          <c:h val="0.76861580826989573"/>
        </c:manualLayout>
      </c:layout>
      <c:barChart>
        <c:barDir val="col"/>
        <c:grouping val="clustered"/>
        <c:ser>
          <c:idx val="0"/>
          <c:order val="0"/>
          <c:tx>
            <c:strRef>
              <c:f>'3-2'!$A$8</c:f>
              <c:strCache>
                <c:ptCount val="1"/>
                <c:pt idx="0">
                  <c:v>Регионы с высоким ЭИЧР</c:v>
                </c:pt>
              </c:strCache>
            </c:strRef>
          </c:tx>
          <c:dLbls>
            <c:txPr>
              <a:bodyPr/>
              <a:lstStyle/>
              <a:p>
                <a:pPr>
                  <a:defRPr sz="900" baseline="0"/>
                </a:pPr>
                <a:endParaRPr lang="ru-RU"/>
              </a:p>
            </c:txPr>
            <c:showVal val="1"/>
          </c:dLbls>
          <c:cat>
            <c:strRef>
              <c:f>'3-2'!$B$7:$C$7</c:f>
              <c:strCache>
                <c:ptCount val="2"/>
                <c:pt idx="0">
                  <c:v>Инвестиции в ОК в промышленности</c:v>
                </c:pt>
                <c:pt idx="1">
                  <c:v>Инвестиции в ОК в сельском хозяйстве </c:v>
                </c:pt>
              </c:strCache>
            </c:strRef>
          </c:cat>
          <c:val>
            <c:numRef>
              <c:f>'3-2'!$B$8:$C$8</c:f>
              <c:numCache>
                <c:formatCode>0.0</c:formatCode>
                <c:ptCount val="2"/>
                <c:pt idx="0">
                  <c:v>76.344382774017646</c:v>
                </c:pt>
                <c:pt idx="1">
                  <c:v>4.1779513695967525</c:v>
                </c:pt>
              </c:numCache>
            </c:numRef>
          </c:val>
        </c:ser>
        <c:ser>
          <c:idx val="1"/>
          <c:order val="1"/>
          <c:tx>
            <c:strRef>
              <c:f>'3-2'!$A$9</c:f>
              <c:strCache>
                <c:ptCount val="1"/>
                <c:pt idx="0">
                  <c:v>Регионы с высоким ЭИЧР (без Ташкента)</c:v>
                </c:pt>
              </c:strCache>
            </c:strRef>
          </c:tx>
          <c:dLbls>
            <c:txPr>
              <a:bodyPr/>
              <a:lstStyle/>
              <a:p>
                <a:pPr>
                  <a:defRPr sz="900" baseline="0"/>
                </a:pPr>
                <a:endParaRPr lang="ru-RU"/>
              </a:p>
            </c:txPr>
            <c:showVal val="1"/>
          </c:dLbls>
          <c:cat>
            <c:strRef>
              <c:f>'3-2'!$B$7:$C$7</c:f>
              <c:strCache>
                <c:ptCount val="2"/>
                <c:pt idx="0">
                  <c:v>Инвестиции в ОК в промышленности</c:v>
                </c:pt>
                <c:pt idx="1">
                  <c:v>Инвестиции в ОК в сельском хозяйстве </c:v>
                </c:pt>
              </c:strCache>
            </c:strRef>
          </c:cat>
          <c:val>
            <c:numRef>
              <c:f>'3-2'!$B$9:$C$9</c:f>
              <c:numCache>
                <c:formatCode>0.0</c:formatCode>
                <c:ptCount val="2"/>
                <c:pt idx="0">
                  <c:v>73.209888459422558</c:v>
                </c:pt>
                <c:pt idx="1">
                  <c:v>5.0892126311649424</c:v>
                </c:pt>
              </c:numCache>
            </c:numRef>
          </c:val>
        </c:ser>
        <c:ser>
          <c:idx val="2"/>
          <c:order val="2"/>
          <c:tx>
            <c:strRef>
              <c:f>'3-2'!$A$10</c:f>
              <c:strCache>
                <c:ptCount val="1"/>
                <c:pt idx="0">
                  <c:v>Регионы со средним и  низким ЭИЧР</c:v>
                </c:pt>
              </c:strCache>
            </c:strRef>
          </c:tx>
          <c:dLbls>
            <c:txPr>
              <a:bodyPr/>
              <a:lstStyle/>
              <a:p>
                <a:pPr>
                  <a:defRPr sz="900" baseline="0"/>
                </a:pPr>
                <a:endParaRPr lang="ru-RU"/>
              </a:p>
            </c:txPr>
            <c:showVal val="1"/>
          </c:dLbls>
          <c:cat>
            <c:strRef>
              <c:f>'3-2'!$B$7:$C$7</c:f>
              <c:strCache>
                <c:ptCount val="2"/>
                <c:pt idx="0">
                  <c:v>Инвестиции в ОК в промышленности</c:v>
                </c:pt>
                <c:pt idx="1">
                  <c:v>Инвестиции в ОК в сельском хозяйстве </c:v>
                </c:pt>
              </c:strCache>
            </c:strRef>
          </c:cat>
          <c:val>
            <c:numRef>
              <c:f>'3-2'!$B$10:$C$10</c:f>
              <c:numCache>
                <c:formatCode>0.0</c:formatCode>
                <c:ptCount val="2"/>
                <c:pt idx="0">
                  <c:v>33.424596386194963</c:v>
                </c:pt>
                <c:pt idx="1">
                  <c:v>6.0161337374867045</c:v>
                </c:pt>
              </c:numCache>
            </c:numRef>
          </c:val>
        </c:ser>
        <c:axId val="192207488"/>
        <c:axId val="125505920"/>
      </c:barChart>
      <c:catAx>
        <c:axId val="192207488"/>
        <c:scaling>
          <c:orientation val="minMax"/>
        </c:scaling>
        <c:axPos val="b"/>
        <c:numFmt formatCode="General" sourceLinked="1"/>
        <c:tickLblPos val="nextTo"/>
        <c:txPr>
          <a:bodyPr/>
          <a:lstStyle/>
          <a:p>
            <a:pPr>
              <a:defRPr sz="1000" baseline="0"/>
            </a:pPr>
            <a:endParaRPr lang="ru-RU"/>
          </a:p>
        </c:txPr>
        <c:crossAx val="125505920"/>
        <c:crosses val="autoZero"/>
        <c:auto val="1"/>
        <c:lblAlgn val="ctr"/>
        <c:lblOffset val="100"/>
      </c:catAx>
      <c:valAx>
        <c:axId val="125505920"/>
        <c:scaling>
          <c:orientation val="minMax"/>
        </c:scaling>
        <c:axPos val="l"/>
        <c:majorGridlines/>
        <c:numFmt formatCode="0" sourceLinked="0"/>
        <c:tickLblPos val="nextTo"/>
        <c:crossAx val="192207488"/>
        <c:crosses val="autoZero"/>
        <c:crossBetween val="between"/>
      </c:valAx>
    </c:plotArea>
    <c:legend>
      <c:legendPos val="r"/>
      <c:layout>
        <c:manualLayout>
          <c:xMode val="edge"/>
          <c:yMode val="edge"/>
          <c:x val="0.75206611570247939"/>
          <c:y val="0.18415834086313376"/>
          <c:w val="0.23140495867768596"/>
          <c:h val="0.61419663525665869"/>
        </c:manualLayout>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536351706036739"/>
          <c:y val="5.1400554097404488E-2"/>
          <c:w val="0.61766557305338798"/>
          <c:h val="0.79822506561679785"/>
        </c:manualLayout>
      </c:layout>
      <c:barChart>
        <c:barDir val="col"/>
        <c:grouping val="clustered"/>
        <c:ser>
          <c:idx val="0"/>
          <c:order val="0"/>
          <c:tx>
            <c:strRef>
              <c:f>'3-3'!$B$7</c:f>
              <c:strCache>
                <c:ptCount val="1"/>
                <c:pt idx="0">
                  <c:v>Регионы с высоким ЭИЧР</c:v>
                </c:pt>
              </c:strCache>
            </c:strRef>
          </c:tx>
          <c:dLbls>
            <c:showVal val="1"/>
          </c:dLbls>
          <c:cat>
            <c:numRef>
              <c:f>'3-3'!$C$6</c:f>
              <c:numCache>
                <c:formatCode>General</c:formatCode>
                <c:ptCount val="1"/>
              </c:numCache>
            </c:numRef>
          </c:cat>
          <c:val>
            <c:numRef>
              <c:f>'3-3'!$C$7</c:f>
              <c:numCache>
                <c:formatCode>0.0%</c:formatCode>
                <c:ptCount val="1"/>
                <c:pt idx="0">
                  <c:v>0.1670548558248782</c:v>
                </c:pt>
              </c:numCache>
            </c:numRef>
          </c:val>
        </c:ser>
        <c:ser>
          <c:idx val="1"/>
          <c:order val="1"/>
          <c:tx>
            <c:strRef>
              <c:f>'3-3'!$B$8</c:f>
              <c:strCache>
                <c:ptCount val="1"/>
                <c:pt idx="0">
                  <c:v>Регионы с высоким ЭИЧР (без Ташкента)</c:v>
                </c:pt>
              </c:strCache>
            </c:strRef>
          </c:tx>
          <c:dLbls>
            <c:showVal val="1"/>
          </c:dLbls>
          <c:cat>
            <c:numRef>
              <c:f>'3-3'!$C$6</c:f>
              <c:numCache>
                <c:formatCode>General</c:formatCode>
                <c:ptCount val="1"/>
              </c:numCache>
            </c:numRef>
          </c:cat>
          <c:val>
            <c:numRef>
              <c:f>'3-3'!$C$8</c:f>
              <c:numCache>
                <c:formatCode>0.0%</c:formatCode>
                <c:ptCount val="1"/>
                <c:pt idx="0">
                  <c:v>0.12158510361503252</c:v>
                </c:pt>
              </c:numCache>
            </c:numRef>
          </c:val>
        </c:ser>
        <c:ser>
          <c:idx val="2"/>
          <c:order val="2"/>
          <c:tx>
            <c:strRef>
              <c:f>'3-3'!$B$9</c:f>
              <c:strCache>
                <c:ptCount val="1"/>
                <c:pt idx="0">
                  <c:v>Регионы со средним и низким ЭИЧР</c:v>
                </c:pt>
              </c:strCache>
            </c:strRef>
          </c:tx>
          <c:dLbls>
            <c:showVal val="1"/>
          </c:dLbls>
          <c:cat>
            <c:numRef>
              <c:f>'3-3'!$C$6</c:f>
              <c:numCache>
                <c:formatCode>General</c:formatCode>
                <c:ptCount val="1"/>
              </c:numCache>
            </c:numRef>
          </c:cat>
          <c:val>
            <c:numRef>
              <c:f>'3-3'!$C$9</c:f>
              <c:numCache>
                <c:formatCode>0.0%</c:formatCode>
                <c:ptCount val="1"/>
                <c:pt idx="0">
                  <c:v>6.0030621417404534E-2</c:v>
                </c:pt>
              </c:numCache>
            </c:numRef>
          </c:val>
        </c:ser>
        <c:axId val="128861312"/>
        <c:axId val="128862848"/>
      </c:barChart>
      <c:catAx>
        <c:axId val="128861312"/>
        <c:scaling>
          <c:orientation val="minMax"/>
        </c:scaling>
        <c:axPos val="b"/>
        <c:numFmt formatCode="General" sourceLinked="1"/>
        <c:tickLblPos val="nextTo"/>
        <c:crossAx val="128862848"/>
        <c:crosses val="autoZero"/>
        <c:auto val="1"/>
        <c:lblAlgn val="ctr"/>
        <c:lblOffset val="100"/>
      </c:catAx>
      <c:valAx>
        <c:axId val="128862848"/>
        <c:scaling>
          <c:orientation val="minMax"/>
        </c:scaling>
        <c:axPos val="l"/>
        <c:majorGridlines/>
        <c:numFmt formatCode="0.0%" sourceLinked="1"/>
        <c:tickLblPos val="nextTo"/>
        <c:crossAx val="128861312"/>
        <c:crosses val="autoZero"/>
        <c:crossBetween val="between"/>
        <c:majorUnit val="3.0000000000000002E-2"/>
      </c:valAx>
    </c:plotArea>
    <c:legend>
      <c:legendPos val="r"/>
      <c:layout>
        <c:manualLayout>
          <c:xMode val="edge"/>
          <c:yMode val="edge"/>
          <c:x val="0.75969575678042689"/>
          <c:y val="0.1516262029746282"/>
          <c:w val="0.2236375765529309"/>
          <c:h val="0.68285870516185476"/>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'3-4'!$B$2:$B$4</c:f>
              <c:strCache>
                <c:ptCount val="3"/>
                <c:pt idx="0">
                  <c:v>Регионы с высоким ЭИЧР</c:v>
                </c:pt>
                <c:pt idx="1">
                  <c:v>Регионы с высоким ЭИЧР (без Ташкента)</c:v>
                </c:pt>
                <c:pt idx="2">
                  <c:v>Регионы со средним и  низким ЭИЧР</c:v>
                </c:pt>
              </c:strCache>
            </c:strRef>
          </c:cat>
          <c:val>
            <c:numRef>
              <c:f>'3-4'!$C$2:$C$4</c:f>
              <c:numCache>
                <c:formatCode>0.0%</c:formatCode>
                <c:ptCount val="3"/>
                <c:pt idx="0">
                  <c:v>5.6245151384449646E-2</c:v>
                </c:pt>
                <c:pt idx="1">
                  <c:v>4.0522491550889134E-2</c:v>
                </c:pt>
                <c:pt idx="2">
                  <c:v>3.5418128471530641E-2</c:v>
                </c:pt>
              </c:numCache>
            </c:numRef>
          </c:val>
        </c:ser>
        <c:axId val="150599936"/>
        <c:axId val="190795776"/>
      </c:barChart>
      <c:catAx>
        <c:axId val="150599936"/>
        <c:scaling>
          <c:orientation val="minMax"/>
        </c:scaling>
        <c:axPos val="b"/>
        <c:tickLblPos val="nextTo"/>
        <c:crossAx val="190795776"/>
        <c:crosses val="autoZero"/>
        <c:auto val="1"/>
        <c:lblAlgn val="ctr"/>
        <c:lblOffset val="100"/>
      </c:catAx>
      <c:valAx>
        <c:axId val="190795776"/>
        <c:scaling>
          <c:orientation val="minMax"/>
        </c:scaling>
        <c:axPos val="l"/>
        <c:majorGridlines/>
        <c:numFmt formatCode="0.0%" sourceLinked="1"/>
        <c:tickLblPos val="nextTo"/>
        <c:crossAx val="150599936"/>
        <c:crosses val="autoZero"/>
        <c:crossBetween val="between"/>
        <c:majorUnit val="2.0000000000000011E-2"/>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Средее!$B$38</c:f>
              <c:strCache>
                <c:ptCount val="1"/>
              </c:strCache>
            </c:strRef>
          </c:tx>
          <c:dLbls>
            <c:txPr>
              <a:bodyPr/>
              <a:lstStyle/>
              <a:p>
                <a:pPr>
                  <a:defRPr sz="1000" baseline="0"/>
                </a:pPr>
                <a:endParaRPr lang="ru-RU"/>
              </a:p>
            </c:txPr>
            <c:dLblPos val="outEnd"/>
            <c:showVal val="1"/>
          </c:dLbls>
          <c:cat>
            <c:strRef>
              <c:f>Средее!$A$39:$A$41</c:f>
              <c:strCache>
                <c:ptCount val="3"/>
                <c:pt idx="0">
                  <c:v>Регионы с высоким ЭИЧР</c:v>
                </c:pt>
                <c:pt idx="1">
                  <c:v>Регионы с высоким ЭИЧР (без Ташкента)</c:v>
                </c:pt>
                <c:pt idx="2">
                  <c:v>Регионы с средним и низким ЭИЧР</c:v>
                </c:pt>
              </c:strCache>
            </c:strRef>
          </c:cat>
          <c:val>
            <c:numRef>
              <c:f>Средее!$B$39:$B$41</c:f>
              <c:numCache>
                <c:formatCode>0</c:formatCode>
                <c:ptCount val="3"/>
                <c:pt idx="0">
                  <c:v>3310.6219758864072</c:v>
                </c:pt>
                <c:pt idx="1">
                  <c:v>669.76042932677808</c:v>
                </c:pt>
                <c:pt idx="2">
                  <c:v>459.75015469969827</c:v>
                </c:pt>
              </c:numCache>
            </c:numRef>
          </c:val>
        </c:ser>
        <c:dLbls>
          <c:showVal val="1"/>
        </c:dLbls>
        <c:axId val="190812544"/>
        <c:axId val="190814080"/>
      </c:barChart>
      <c:catAx>
        <c:axId val="190812544"/>
        <c:scaling>
          <c:orientation val="minMax"/>
        </c:scaling>
        <c:axPos val="b"/>
        <c:numFmt formatCode="General" sourceLinked="1"/>
        <c:tickLblPos val="nextTo"/>
        <c:txPr>
          <a:bodyPr/>
          <a:lstStyle/>
          <a:p>
            <a:pPr>
              <a:defRPr sz="1000" baseline="0"/>
            </a:pPr>
            <a:endParaRPr lang="ru-RU"/>
          </a:p>
        </c:txPr>
        <c:crossAx val="190814080"/>
        <c:crosses val="autoZero"/>
        <c:auto val="1"/>
        <c:lblAlgn val="ctr"/>
        <c:lblOffset val="100"/>
      </c:catAx>
      <c:valAx>
        <c:axId val="190814080"/>
        <c:scaling>
          <c:orientation val="minMax"/>
        </c:scaling>
        <c:delete val="1"/>
        <c:axPos val="l"/>
        <c:majorGridlines/>
        <c:numFmt formatCode="0" sourceLinked="1"/>
        <c:tickLblPos val="nextTo"/>
        <c:crossAx val="190812544"/>
        <c:crosses val="autoZero"/>
        <c:crossBetween val="between"/>
      </c:valAx>
    </c:plotArea>
    <c:plotVisOnly val="1"/>
    <c:dispBlanksAs val="gap"/>
  </c:chart>
  <c:txPr>
    <a:bodyPr/>
    <a:lstStyle/>
    <a:p>
      <a:pPr>
        <a:defRPr sz="2000" b="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strRef>
              <c:f>'1-3'!$C$17</c:f>
              <c:strCache>
                <c:ptCount val="1"/>
                <c:pt idx="0">
                  <c:v>Доля городского населения </c:v>
                </c:pt>
              </c:strCache>
            </c:strRef>
          </c:tx>
          <c:spPr>
            <a:ln w="28575">
              <a:noFill/>
            </a:ln>
          </c:spPr>
          <c:dLbls>
            <c:dLbl>
              <c:idx val="0"/>
              <c:tx>
                <c:rich>
                  <a:bodyPr/>
                  <a:lstStyle/>
                  <a:p>
                    <a:pPr>
                      <a:defRPr/>
                    </a:pPr>
                    <a:r>
                      <a:rPr lang="ru-RU"/>
                      <a:t>Ташкнет</a:t>
                    </a:r>
                    <a:endParaRPr lang="en-US"/>
                  </a:p>
                </c:rich>
              </c:tx>
              <c:numFmt formatCode="@" sourceLinked="0"/>
              <c:spPr/>
              <c:showVal val="1"/>
            </c:dLbl>
            <c:dLbl>
              <c:idx val="9"/>
              <c:tx>
                <c:rich>
                  <a:bodyPr/>
                  <a:lstStyle/>
                  <a:p>
                    <a:r>
                      <a:rPr lang="ru-RU"/>
                      <a:t>Навоийская обл</a:t>
                    </a:r>
                    <a:endParaRPr lang="en-US"/>
                  </a:p>
                </c:rich>
              </c:tx>
              <c:dLblPos val="t"/>
              <c:showVal val="1"/>
            </c:dLbl>
            <c:dLbl>
              <c:idx val="13"/>
              <c:tx>
                <c:rich>
                  <a:bodyPr/>
                  <a:lstStyle/>
                  <a:p>
                    <a:pPr>
                      <a:defRPr/>
                    </a:pPr>
                    <a:r>
                      <a:rPr lang="ru-RU"/>
                      <a:t>Джизакская обл.</a:t>
                    </a:r>
                    <a:endParaRPr lang="en-US"/>
                  </a:p>
                </c:rich>
              </c:tx>
              <c:numFmt formatCode="@" sourceLinked="0"/>
              <c:spPr/>
              <c:showVal val="1"/>
            </c:dLbl>
            <c:delete val="1"/>
          </c:dLbls>
          <c:trendline>
            <c:trendlineType val="linear"/>
          </c:trendline>
          <c:xVal>
            <c:numRef>
              <c:f>'1-3'!$B$18:$B$31</c:f>
              <c:numCache>
                <c:formatCode>0.0</c:formatCode>
                <c:ptCount val="14"/>
                <c:pt idx="0">
                  <c:v>45.86</c:v>
                </c:pt>
                <c:pt idx="1">
                  <c:v>45.86</c:v>
                </c:pt>
                <c:pt idx="2">
                  <c:v>45.660000000000011</c:v>
                </c:pt>
                <c:pt idx="3">
                  <c:v>44.56</c:v>
                </c:pt>
                <c:pt idx="4">
                  <c:v>44.46</c:v>
                </c:pt>
                <c:pt idx="5">
                  <c:v>44.220000000000013</c:v>
                </c:pt>
                <c:pt idx="6">
                  <c:v>44.2</c:v>
                </c:pt>
                <c:pt idx="7">
                  <c:v>42.5</c:v>
                </c:pt>
                <c:pt idx="8">
                  <c:v>41.9</c:v>
                </c:pt>
                <c:pt idx="9">
                  <c:v>40.020000000000003</c:v>
                </c:pt>
                <c:pt idx="10">
                  <c:v>38.9</c:v>
                </c:pt>
                <c:pt idx="11">
                  <c:v>38.46</c:v>
                </c:pt>
                <c:pt idx="12">
                  <c:v>38</c:v>
                </c:pt>
                <c:pt idx="13">
                  <c:v>35.25</c:v>
                </c:pt>
              </c:numCache>
            </c:numRef>
          </c:xVal>
          <c:yVal>
            <c:numRef>
              <c:f>'1-3'!$C$18:$C$31</c:f>
              <c:numCache>
                <c:formatCode>0.0</c:formatCode>
                <c:ptCount val="14"/>
                <c:pt idx="0">
                  <c:v>100</c:v>
                </c:pt>
                <c:pt idx="1">
                  <c:v>28.117067204757635</c:v>
                </c:pt>
                <c:pt idx="2">
                  <c:v>29.483029871965559</c:v>
                </c:pt>
                <c:pt idx="3">
                  <c:v>29.536773953330787</c:v>
                </c:pt>
                <c:pt idx="4">
                  <c:v>48.621204819806294</c:v>
                </c:pt>
                <c:pt idx="5">
                  <c:v>22.199308326823491</c:v>
                </c:pt>
                <c:pt idx="6">
                  <c:v>39.352946365515884</c:v>
                </c:pt>
                <c:pt idx="7">
                  <c:v>37.234706833504958</c:v>
                </c:pt>
                <c:pt idx="8">
                  <c:v>25.51290263642867</c:v>
                </c:pt>
                <c:pt idx="9">
                  <c:v>39.636571592053123</c:v>
                </c:pt>
                <c:pt idx="10">
                  <c:v>19.255315970045089</c:v>
                </c:pt>
                <c:pt idx="11">
                  <c:v>31.239016988043169</c:v>
                </c:pt>
                <c:pt idx="12">
                  <c:v>24.693875176692508</c:v>
                </c:pt>
                <c:pt idx="13">
                  <c:v>29.885879152627581</c:v>
                </c:pt>
              </c:numCache>
            </c:numRef>
          </c:yVal>
        </c:ser>
        <c:axId val="173241472"/>
        <c:axId val="173243392"/>
      </c:scatterChart>
      <c:valAx>
        <c:axId val="173241472"/>
        <c:scaling>
          <c:orientation val="minMax"/>
          <c:min val="35"/>
        </c:scaling>
        <c:axPos val="b"/>
        <c:majorGridlines/>
        <c:minorGridlines/>
        <c:title>
          <c:tx>
            <c:rich>
              <a:bodyPr/>
              <a:lstStyle/>
              <a:p>
                <a:pPr>
                  <a:defRPr/>
                </a:pPr>
                <a:r>
                  <a:rPr lang="ru-RU"/>
                  <a:t>Доля женщин среди занятых, %</a:t>
                </a:r>
              </a:p>
            </c:rich>
          </c:tx>
        </c:title>
        <c:numFmt formatCode="0" sourceLinked="0"/>
        <c:tickLblPos val="nextTo"/>
        <c:crossAx val="173243392"/>
        <c:crosses val="autoZero"/>
        <c:crossBetween val="midCat"/>
      </c:valAx>
      <c:valAx>
        <c:axId val="173243392"/>
        <c:scaling>
          <c:orientation val="minMax"/>
          <c:max val="100"/>
          <c:min val="10"/>
        </c:scaling>
        <c:axPos val="l"/>
        <c:majorGridlines/>
        <c:minorGridlines/>
        <c:title>
          <c:tx>
            <c:rich>
              <a:bodyPr/>
              <a:lstStyle/>
              <a:p>
                <a:pPr>
                  <a:defRPr/>
                </a:pPr>
                <a:r>
                  <a:rPr lang="ru-RU"/>
                  <a:t>Доля городского населения, %</a:t>
                </a:r>
              </a:p>
            </c:rich>
          </c:tx>
        </c:title>
        <c:numFmt formatCode="0" sourceLinked="0"/>
        <c:tickLblPos val="nextTo"/>
        <c:crossAx val="173241472"/>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strRef>
              <c:f>'1-3'!$D$17</c:f>
              <c:strCache>
                <c:ptCount val="1"/>
                <c:pt idx="0">
                  <c:v>Доля занятых в промышленности</c:v>
                </c:pt>
              </c:strCache>
            </c:strRef>
          </c:tx>
          <c:spPr>
            <a:ln w="28575">
              <a:noFill/>
            </a:ln>
          </c:spPr>
          <c:dLbls>
            <c:dLbl>
              <c:idx val="0"/>
              <c:tx>
                <c:rich>
                  <a:bodyPr/>
                  <a:lstStyle/>
                  <a:p>
                    <a:pPr>
                      <a:defRPr/>
                    </a:pPr>
                    <a:r>
                      <a:rPr lang="ru-RU"/>
                      <a:t>Ташкнет</a:t>
                    </a:r>
                    <a:endParaRPr lang="en-US"/>
                  </a:p>
                </c:rich>
              </c:tx>
              <c:numFmt formatCode="@" sourceLinked="0"/>
              <c:spPr/>
              <c:showVal val="1"/>
            </c:dLbl>
            <c:dLbl>
              <c:idx val="9"/>
              <c:tx>
                <c:rich>
                  <a:bodyPr/>
                  <a:lstStyle/>
                  <a:p>
                    <a:r>
                      <a:rPr lang="ru-RU"/>
                      <a:t>Навоиская обл.</a:t>
                    </a:r>
                    <a:endParaRPr lang="en-US"/>
                  </a:p>
                </c:rich>
              </c:tx>
              <c:showVal val="1"/>
            </c:dLbl>
            <c:dLbl>
              <c:idx val="13"/>
              <c:tx>
                <c:rich>
                  <a:bodyPr/>
                  <a:lstStyle/>
                  <a:p>
                    <a:pPr>
                      <a:defRPr/>
                    </a:pPr>
                    <a:r>
                      <a:rPr lang="ru-RU"/>
                      <a:t>Джизакская обл.</a:t>
                    </a:r>
                    <a:endParaRPr lang="en-US"/>
                  </a:p>
                </c:rich>
              </c:tx>
              <c:numFmt formatCode="@" sourceLinked="0"/>
              <c:spPr/>
              <c:showVal val="1"/>
            </c:dLbl>
            <c:delete val="1"/>
          </c:dLbls>
          <c:trendline>
            <c:trendlineType val="linear"/>
          </c:trendline>
          <c:xVal>
            <c:numRef>
              <c:f>'1-3'!$B$18:$B$31</c:f>
              <c:numCache>
                <c:formatCode>0.0</c:formatCode>
                <c:ptCount val="14"/>
                <c:pt idx="0">
                  <c:v>45.86</c:v>
                </c:pt>
                <c:pt idx="1">
                  <c:v>45.86</c:v>
                </c:pt>
                <c:pt idx="2">
                  <c:v>45.660000000000011</c:v>
                </c:pt>
                <c:pt idx="3">
                  <c:v>44.56</c:v>
                </c:pt>
                <c:pt idx="4">
                  <c:v>44.46</c:v>
                </c:pt>
                <c:pt idx="5">
                  <c:v>44.220000000000013</c:v>
                </c:pt>
                <c:pt idx="6">
                  <c:v>44.2</c:v>
                </c:pt>
                <c:pt idx="7">
                  <c:v>42.5</c:v>
                </c:pt>
                <c:pt idx="8">
                  <c:v>41.9</c:v>
                </c:pt>
                <c:pt idx="9">
                  <c:v>40.020000000000003</c:v>
                </c:pt>
                <c:pt idx="10">
                  <c:v>38.9</c:v>
                </c:pt>
                <c:pt idx="11">
                  <c:v>38.46</c:v>
                </c:pt>
                <c:pt idx="12">
                  <c:v>38</c:v>
                </c:pt>
                <c:pt idx="13">
                  <c:v>35.25</c:v>
                </c:pt>
              </c:numCache>
            </c:numRef>
          </c:xVal>
          <c:yVal>
            <c:numRef>
              <c:f>'1-3'!$D$18:$D$31</c:f>
              <c:numCache>
                <c:formatCode>General</c:formatCode>
                <c:ptCount val="14"/>
                <c:pt idx="0">
                  <c:v>22.3</c:v>
                </c:pt>
                <c:pt idx="1">
                  <c:v>14.4</c:v>
                </c:pt>
                <c:pt idx="2">
                  <c:v>13.1</c:v>
                </c:pt>
                <c:pt idx="3">
                  <c:v>10.3</c:v>
                </c:pt>
                <c:pt idx="4">
                  <c:v>9.1</c:v>
                </c:pt>
                <c:pt idx="5">
                  <c:v>8.1</c:v>
                </c:pt>
                <c:pt idx="6">
                  <c:v>19.8</c:v>
                </c:pt>
                <c:pt idx="7">
                  <c:v>13.2</c:v>
                </c:pt>
                <c:pt idx="8">
                  <c:v>10.5</c:v>
                </c:pt>
                <c:pt idx="9">
                  <c:v>26</c:v>
                </c:pt>
                <c:pt idx="10">
                  <c:v>6.1</c:v>
                </c:pt>
                <c:pt idx="11">
                  <c:v>9.5</c:v>
                </c:pt>
                <c:pt idx="12">
                  <c:v>7.8</c:v>
                </c:pt>
                <c:pt idx="13">
                  <c:v>7.8</c:v>
                </c:pt>
              </c:numCache>
            </c:numRef>
          </c:yVal>
        </c:ser>
        <c:axId val="173322624"/>
        <c:axId val="173324544"/>
      </c:scatterChart>
      <c:valAx>
        <c:axId val="173322624"/>
        <c:scaling>
          <c:orientation val="minMax"/>
          <c:min val="35"/>
        </c:scaling>
        <c:axPos val="b"/>
        <c:majorGridlines/>
        <c:minorGridlines/>
        <c:title>
          <c:tx>
            <c:rich>
              <a:bodyPr/>
              <a:lstStyle/>
              <a:p>
                <a:pPr>
                  <a:defRPr/>
                </a:pPr>
                <a:r>
                  <a:rPr lang="ru-RU"/>
                  <a:t>Доля женщин среди занятых, %</a:t>
                </a:r>
              </a:p>
            </c:rich>
          </c:tx>
        </c:title>
        <c:numFmt formatCode="0" sourceLinked="0"/>
        <c:tickLblPos val="nextTo"/>
        <c:crossAx val="173324544"/>
        <c:crosses val="autoZero"/>
        <c:crossBetween val="midCat"/>
      </c:valAx>
      <c:valAx>
        <c:axId val="173324544"/>
        <c:scaling>
          <c:orientation val="minMax"/>
        </c:scaling>
        <c:axPos val="l"/>
        <c:majorGridlines/>
        <c:minorGridlines/>
        <c:title>
          <c:tx>
            <c:rich>
              <a:bodyPr/>
              <a:lstStyle/>
              <a:p>
                <a:pPr>
                  <a:defRPr/>
                </a:pPr>
                <a:r>
                  <a:rPr lang="ru-RU"/>
                  <a:t>Доля занятых в промышленности, %</a:t>
                </a:r>
              </a:p>
            </c:rich>
          </c:tx>
        </c:title>
        <c:numFmt formatCode="0" sourceLinked="0"/>
        <c:tickLblPos val="nextTo"/>
        <c:crossAx val="173322624"/>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strRef>
              <c:f>'1-3'!$E$17</c:f>
              <c:strCache>
                <c:ptCount val="1"/>
                <c:pt idx="0">
                  <c:v>ЭИЧР</c:v>
                </c:pt>
              </c:strCache>
            </c:strRef>
          </c:tx>
          <c:spPr>
            <a:ln w="28575">
              <a:noFill/>
            </a:ln>
          </c:spPr>
          <c:dLbls>
            <c:dLbl>
              <c:idx val="0"/>
              <c:tx>
                <c:rich>
                  <a:bodyPr/>
                  <a:lstStyle/>
                  <a:p>
                    <a:pPr>
                      <a:defRPr/>
                    </a:pPr>
                    <a:r>
                      <a:rPr lang="ru-RU"/>
                      <a:t>Ташкнет</a:t>
                    </a:r>
                    <a:endParaRPr lang="en-US"/>
                  </a:p>
                </c:rich>
              </c:tx>
              <c:numFmt formatCode="@" sourceLinked="0"/>
              <c:spPr/>
              <c:showVal val="1"/>
            </c:dLbl>
            <c:dLbl>
              <c:idx val="9"/>
              <c:tx>
                <c:rich>
                  <a:bodyPr/>
                  <a:lstStyle/>
                  <a:p>
                    <a:r>
                      <a:rPr lang="ru-RU"/>
                      <a:t>Навоиская обл.</a:t>
                    </a:r>
                    <a:endParaRPr lang="en-US"/>
                  </a:p>
                </c:rich>
              </c:tx>
              <c:dLblPos val="t"/>
              <c:showVal val="1"/>
            </c:dLbl>
            <c:dLbl>
              <c:idx val="13"/>
              <c:tx>
                <c:rich>
                  <a:bodyPr/>
                  <a:lstStyle/>
                  <a:p>
                    <a:pPr>
                      <a:defRPr/>
                    </a:pPr>
                    <a:r>
                      <a:rPr lang="ru-RU"/>
                      <a:t>Джизакская обл.</a:t>
                    </a:r>
                    <a:endParaRPr lang="en-US"/>
                  </a:p>
                </c:rich>
              </c:tx>
              <c:numFmt formatCode="@" sourceLinked="0"/>
              <c:spPr/>
              <c:showVal val="1"/>
            </c:dLbl>
            <c:delete val="1"/>
          </c:dLbls>
          <c:trendline>
            <c:trendlineType val="linear"/>
          </c:trendline>
          <c:xVal>
            <c:numRef>
              <c:f>'1-3'!$B$18:$B$31</c:f>
              <c:numCache>
                <c:formatCode>0.0</c:formatCode>
                <c:ptCount val="14"/>
                <c:pt idx="0">
                  <c:v>45.86</c:v>
                </c:pt>
                <c:pt idx="1">
                  <c:v>45.86</c:v>
                </c:pt>
                <c:pt idx="2">
                  <c:v>45.660000000000011</c:v>
                </c:pt>
                <c:pt idx="3">
                  <c:v>44.56</c:v>
                </c:pt>
                <c:pt idx="4">
                  <c:v>44.46</c:v>
                </c:pt>
                <c:pt idx="5">
                  <c:v>44.220000000000013</c:v>
                </c:pt>
                <c:pt idx="6">
                  <c:v>44.2</c:v>
                </c:pt>
                <c:pt idx="7">
                  <c:v>42.5</c:v>
                </c:pt>
                <c:pt idx="8">
                  <c:v>41.9</c:v>
                </c:pt>
                <c:pt idx="9">
                  <c:v>40.020000000000003</c:v>
                </c:pt>
                <c:pt idx="10">
                  <c:v>38.9</c:v>
                </c:pt>
                <c:pt idx="11">
                  <c:v>38.46</c:v>
                </c:pt>
                <c:pt idx="12">
                  <c:v>38</c:v>
                </c:pt>
                <c:pt idx="13">
                  <c:v>35.25</c:v>
                </c:pt>
              </c:numCache>
            </c:numRef>
          </c:xVal>
          <c:yVal>
            <c:numRef>
              <c:f>'1-3'!$E$18:$E$31</c:f>
              <c:numCache>
                <c:formatCode>General</c:formatCode>
                <c:ptCount val="14"/>
                <c:pt idx="0">
                  <c:v>0.70400000000000063</c:v>
                </c:pt>
                <c:pt idx="1">
                  <c:v>0.20100000000000001</c:v>
                </c:pt>
                <c:pt idx="2">
                  <c:v>0.23300000000000001</c:v>
                </c:pt>
                <c:pt idx="3">
                  <c:v>0.224</c:v>
                </c:pt>
                <c:pt idx="4">
                  <c:v>0.11799999999999998</c:v>
                </c:pt>
                <c:pt idx="5">
                  <c:v>0.18400000000000041</c:v>
                </c:pt>
                <c:pt idx="6">
                  <c:v>0.24900000000000044</c:v>
                </c:pt>
                <c:pt idx="7">
                  <c:v>0.18000000000000024</c:v>
                </c:pt>
                <c:pt idx="8">
                  <c:v>0.18100000000000024</c:v>
                </c:pt>
                <c:pt idx="9">
                  <c:v>0.27</c:v>
                </c:pt>
                <c:pt idx="10">
                  <c:v>0.17600000000000021</c:v>
                </c:pt>
                <c:pt idx="11">
                  <c:v>0.16900000000000001</c:v>
                </c:pt>
                <c:pt idx="12">
                  <c:v>0.16800000000000001</c:v>
                </c:pt>
                <c:pt idx="13">
                  <c:v>0.15400000000000041</c:v>
                </c:pt>
              </c:numCache>
            </c:numRef>
          </c:yVal>
        </c:ser>
        <c:axId val="173370752"/>
        <c:axId val="173430272"/>
      </c:scatterChart>
      <c:valAx>
        <c:axId val="173370752"/>
        <c:scaling>
          <c:orientation val="minMax"/>
          <c:min val="35"/>
        </c:scaling>
        <c:axPos val="b"/>
        <c:majorGridlines/>
        <c:minorGridlines/>
        <c:title>
          <c:tx>
            <c:rich>
              <a:bodyPr/>
              <a:lstStyle/>
              <a:p>
                <a:pPr>
                  <a:defRPr/>
                </a:pPr>
                <a:r>
                  <a:rPr lang="ru-RU"/>
                  <a:t>Доля женщин среди занятых, %</a:t>
                </a:r>
              </a:p>
            </c:rich>
          </c:tx>
        </c:title>
        <c:numFmt formatCode="0" sourceLinked="0"/>
        <c:tickLblPos val="nextTo"/>
        <c:crossAx val="173430272"/>
        <c:crosses val="autoZero"/>
        <c:crossBetween val="midCat"/>
      </c:valAx>
      <c:valAx>
        <c:axId val="173430272"/>
        <c:scaling>
          <c:orientation val="minMax"/>
        </c:scaling>
        <c:axPos val="l"/>
        <c:majorGridlines/>
        <c:minorGridlines/>
        <c:title>
          <c:tx>
            <c:rich>
              <a:bodyPr/>
              <a:lstStyle/>
              <a:p>
                <a:pPr>
                  <a:defRPr/>
                </a:pPr>
                <a:r>
                  <a:rPr lang="ru-RU"/>
                  <a:t>ЭИЧР</a:t>
                </a:r>
              </a:p>
            </c:rich>
          </c:tx>
        </c:title>
        <c:numFmt formatCode="0.0" sourceLinked="0"/>
        <c:tickLblPos val="nextTo"/>
        <c:crossAx val="173370752"/>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lineMarker"/>
        <c:ser>
          <c:idx val="0"/>
          <c:order val="0"/>
          <c:tx>
            <c:strRef>
              <c:f>'1-3'!$F$17</c:f>
              <c:strCache>
                <c:ptCount val="1"/>
                <c:pt idx="0">
                  <c:v>Охват детей ДДУ</c:v>
                </c:pt>
              </c:strCache>
            </c:strRef>
          </c:tx>
          <c:spPr>
            <a:ln w="28575">
              <a:noFill/>
            </a:ln>
          </c:spPr>
          <c:dLbls>
            <c:dLbl>
              <c:idx val="0"/>
              <c:tx>
                <c:rich>
                  <a:bodyPr/>
                  <a:lstStyle/>
                  <a:p>
                    <a:pPr>
                      <a:defRPr/>
                    </a:pPr>
                    <a:r>
                      <a:rPr lang="ru-RU"/>
                      <a:t>Ташкнет</a:t>
                    </a:r>
                    <a:endParaRPr lang="en-US"/>
                  </a:p>
                </c:rich>
              </c:tx>
              <c:numFmt formatCode="@" sourceLinked="0"/>
              <c:spPr/>
              <c:showVal val="1"/>
            </c:dLbl>
            <c:dLbl>
              <c:idx val="9"/>
              <c:tx>
                <c:rich>
                  <a:bodyPr/>
                  <a:lstStyle/>
                  <a:p>
                    <a:r>
                      <a:rPr lang="ru-RU"/>
                      <a:t>Навоийская обл</a:t>
                    </a:r>
                    <a:endParaRPr lang="en-US"/>
                  </a:p>
                </c:rich>
              </c:tx>
              <c:dLblPos val="t"/>
              <c:showVal val="1"/>
            </c:dLbl>
            <c:dLbl>
              <c:idx val="13"/>
              <c:tx>
                <c:rich>
                  <a:bodyPr/>
                  <a:lstStyle/>
                  <a:p>
                    <a:pPr>
                      <a:defRPr/>
                    </a:pPr>
                    <a:r>
                      <a:rPr lang="ru-RU"/>
                      <a:t>Джизакская обл.</a:t>
                    </a:r>
                    <a:endParaRPr lang="en-US"/>
                  </a:p>
                </c:rich>
              </c:tx>
              <c:numFmt formatCode="@" sourceLinked="0"/>
              <c:spPr/>
              <c:showVal val="1"/>
            </c:dLbl>
            <c:delete val="1"/>
          </c:dLbls>
          <c:trendline>
            <c:trendlineType val="linear"/>
          </c:trendline>
          <c:xVal>
            <c:numRef>
              <c:f>'1-3'!$B$18:$B$31</c:f>
              <c:numCache>
                <c:formatCode>0.0</c:formatCode>
                <c:ptCount val="14"/>
                <c:pt idx="0">
                  <c:v>45.86</c:v>
                </c:pt>
                <c:pt idx="1">
                  <c:v>45.86</c:v>
                </c:pt>
                <c:pt idx="2">
                  <c:v>45.660000000000011</c:v>
                </c:pt>
                <c:pt idx="3">
                  <c:v>44.56</c:v>
                </c:pt>
                <c:pt idx="4">
                  <c:v>44.46</c:v>
                </c:pt>
                <c:pt idx="5">
                  <c:v>44.220000000000013</c:v>
                </c:pt>
                <c:pt idx="6">
                  <c:v>44.2</c:v>
                </c:pt>
                <c:pt idx="7">
                  <c:v>42.5</c:v>
                </c:pt>
                <c:pt idx="8">
                  <c:v>41.9</c:v>
                </c:pt>
                <c:pt idx="9">
                  <c:v>40.020000000000003</c:v>
                </c:pt>
                <c:pt idx="10">
                  <c:v>38.9</c:v>
                </c:pt>
                <c:pt idx="11">
                  <c:v>38.46</c:v>
                </c:pt>
                <c:pt idx="12">
                  <c:v>38</c:v>
                </c:pt>
                <c:pt idx="13">
                  <c:v>35.25</c:v>
                </c:pt>
              </c:numCache>
            </c:numRef>
          </c:xVal>
          <c:yVal>
            <c:numRef>
              <c:f>'1-3'!$F$18:$F$31</c:f>
              <c:numCache>
                <c:formatCode>General</c:formatCode>
                <c:ptCount val="14"/>
                <c:pt idx="0">
                  <c:v>49.38</c:v>
                </c:pt>
                <c:pt idx="1">
                  <c:v>23.04</c:v>
                </c:pt>
                <c:pt idx="2">
                  <c:v>17.14</c:v>
                </c:pt>
                <c:pt idx="3">
                  <c:v>17.2</c:v>
                </c:pt>
                <c:pt idx="4">
                  <c:v>17.16</c:v>
                </c:pt>
                <c:pt idx="5">
                  <c:v>13.960000000000004</c:v>
                </c:pt>
                <c:pt idx="6">
                  <c:v>20.560000000000002</c:v>
                </c:pt>
                <c:pt idx="7">
                  <c:v>19.979999999999986</c:v>
                </c:pt>
                <c:pt idx="8">
                  <c:v>12.06</c:v>
                </c:pt>
                <c:pt idx="9">
                  <c:v>24.639999999999997</c:v>
                </c:pt>
                <c:pt idx="10">
                  <c:v>10.78</c:v>
                </c:pt>
                <c:pt idx="11">
                  <c:v>19.059999999999999</c:v>
                </c:pt>
                <c:pt idx="12">
                  <c:v>9.6800000000000015</c:v>
                </c:pt>
                <c:pt idx="13">
                  <c:v>19.119999999999997</c:v>
                </c:pt>
              </c:numCache>
            </c:numRef>
          </c:yVal>
        </c:ser>
        <c:axId val="173468288"/>
        <c:axId val="173482752"/>
      </c:scatterChart>
      <c:valAx>
        <c:axId val="173468288"/>
        <c:scaling>
          <c:orientation val="minMax"/>
          <c:min val="35"/>
        </c:scaling>
        <c:axPos val="b"/>
        <c:majorGridlines/>
        <c:minorGridlines/>
        <c:title>
          <c:tx>
            <c:rich>
              <a:bodyPr/>
              <a:lstStyle/>
              <a:p>
                <a:pPr>
                  <a:defRPr/>
                </a:pPr>
                <a:r>
                  <a:rPr lang="ru-RU"/>
                  <a:t>Доля женщин среди занятых, %</a:t>
                </a:r>
              </a:p>
            </c:rich>
          </c:tx>
        </c:title>
        <c:numFmt formatCode="0" sourceLinked="0"/>
        <c:tickLblPos val="nextTo"/>
        <c:crossAx val="173482752"/>
        <c:crosses val="autoZero"/>
        <c:crossBetween val="midCat"/>
      </c:valAx>
      <c:valAx>
        <c:axId val="173482752"/>
        <c:scaling>
          <c:orientation val="minMax"/>
          <c:max val="50"/>
        </c:scaling>
        <c:axPos val="l"/>
        <c:majorGridlines/>
        <c:minorGridlines/>
        <c:title>
          <c:tx>
            <c:rich>
              <a:bodyPr/>
              <a:lstStyle/>
              <a:p>
                <a:pPr>
                  <a:defRPr/>
                </a:pPr>
                <a:r>
                  <a:rPr lang="ru-RU"/>
                  <a:t>Охват детей ДД</a:t>
                </a:r>
                <a:r>
                  <a:rPr lang="en-US"/>
                  <a:t>O</a:t>
                </a:r>
                <a:r>
                  <a:rPr lang="ru-RU"/>
                  <a:t>У, %</a:t>
                </a:r>
              </a:p>
            </c:rich>
          </c:tx>
        </c:title>
        <c:numFmt formatCode="0" sourceLinked="0"/>
        <c:tickLblPos val="nextTo"/>
        <c:crossAx val="173468288"/>
        <c:crosses val="autoZero"/>
        <c:crossBetween val="midCat"/>
        <c:majorUnit val="10"/>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'1-2'!$B$11</c:f>
              <c:strCache>
                <c:ptCount val="1"/>
                <c:pt idx="0">
                  <c:v>Прирост занятости за 1997-2008 гг., в %</c:v>
                </c:pt>
              </c:strCache>
            </c:strRef>
          </c:tx>
          <c:dLbls>
            <c:showVal val="1"/>
          </c:dLbls>
          <c:cat>
            <c:strRef>
              <c:f>'1-2'!$A$12:$A$14</c:f>
              <c:strCache>
                <c:ptCount val="3"/>
                <c:pt idx="0">
                  <c:v>Регионы с высокими темпами ЭР</c:v>
                </c:pt>
                <c:pt idx="1">
                  <c:v>Регионы с высокими темпами ЭР (без Ташкента)</c:v>
                </c:pt>
                <c:pt idx="2">
                  <c:v>Регионы с низкими темпами ЭР</c:v>
                </c:pt>
              </c:strCache>
            </c:strRef>
          </c:cat>
          <c:val>
            <c:numRef>
              <c:f>'1-2'!$B$12:$B$14</c:f>
              <c:numCache>
                <c:formatCode>0.0</c:formatCode>
                <c:ptCount val="3"/>
                <c:pt idx="0">
                  <c:v>26.825058004640368</c:v>
                </c:pt>
                <c:pt idx="1">
                  <c:v>28.717774762550931</c:v>
                </c:pt>
                <c:pt idx="2">
                  <c:v>27.620349278663163</c:v>
                </c:pt>
              </c:numCache>
            </c:numRef>
          </c:val>
        </c:ser>
        <c:axId val="173449600"/>
        <c:axId val="173451136"/>
      </c:barChart>
      <c:catAx>
        <c:axId val="173449600"/>
        <c:scaling>
          <c:orientation val="minMax"/>
        </c:scaling>
        <c:axPos val="b"/>
        <c:numFmt formatCode="General" sourceLinked="1"/>
        <c:tickLblPos val="nextTo"/>
        <c:crossAx val="173451136"/>
        <c:crosses val="autoZero"/>
        <c:auto val="1"/>
        <c:lblAlgn val="ctr"/>
        <c:lblOffset val="100"/>
      </c:catAx>
      <c:valAx>
        <c:axId val="173451136"/>
        <c:scaling>
          <c:orientation val="minMax"/>
          <c:max val="30"/>
          <c:min val="10"/>
        </c:scaling>
        <c:axPos val="l"/>
        <c:majorGridlines/>
        <c:numFmt formatCode="0.0" sourceLinked="1"/>
        <c:tickLblPos val="nextTo"/>
        <c:crossAx val="173449600"/>
        <c:crosses val="autoZero"/>
        <c:crossBetween val="between"/>
        <c:majorUnit val="10"/>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958573928259029"/>
          <c:y val="5.1400554097404488E-2"/>
          <c:w val="0.62990179352583375"/>
          <c:h val="0.68521580635753865"/>
        </c:manualLayout>
      </c:layout>
      <c:barChart>
        <c:barDir val="col"/>
        <c:grouping val="clustered"/>
        <c:ser>
          <c:idx val="0"/>
          <c:order val="0"/>
          <c:tx>
            <c:strRef>
              <c:f>'Рисунки-5'!$A$26</c:f>
              <c:strCache>
                <c:ptCount val="1"/>
                <c:pt idx="0">
                  <c:v>Регионы с высокими темпами ЭР</c:v>
                </c:pt>
              </c:strCache>
            </c:strRef>
          </c:tx>
          <c:dLbls>
            <c:showVal val="1"/>
          </c:dLbls>
          <c:cat>
            <c:strRef>
              <c:f>'Рисунки-5'!$B$25:$C$25</c:f>
              <c:strCache>
                <c:ptCount val="2"/>
                <c:pt idx="0">
                  <c:v>Инвестиции в ОК, 1999-2007</c:v>
                </c:pt>
                <c:pt idx="1">
                  <c:v>Инвестиции в ОК из негосударственного сектора, 1999-2007 </c:v>
                </c:pt>
              </c:strCache>
            </c:strRef>
          </c:cat>
          <c:val>
            <c:numRef>
              <c:f>'Рисунки-5'!$B$26:$C$26</c:f>
              <c:numCache>
                <c:formatCode>0.0</c:formatCode>
                <c:ptCount val="2"/>
                <c:pt idx="0">
                  <c:v>27.165116577616427</c:v>
                </c:pt>
                <c:pt idx="1">
                  <c:v>16.064527246543076</c:v>
                </c:pt>
              </c:numCache>
            </c:numRef>
          </c:val>
        </c:ser>
        <c:ser>
          <c:idx val="1"/>
          <c:order val="1"/>
          <c:tx>
            <c:strRef>
              <c:f>'Рисунки-5'!$A$27</c:f>
              <c:strCache>
                <c:ptCount val="1"/>
                <c:pt idx="0">
                  <c:v>Регионы с высокими темпами ЭР (без Ташкента)</c:v>
                </c:pt>
              </c:strCache>
            </c:strRef>
          </c:tx>
          <c:dLbls>
            <c:showVal val="1"/>
          </c:dLbls>
          <c:cat>
            <c:strRef>
              <c:f>'Рисунки-5'!$B$25:$C$25</c:f>
              <c:strCache>
                <c:ptCount val="2"/>
                <c:pt idx="0">
                  <c:v>Инвестиции в ОК, 1999-2007</c:v>
                </c:pt>
                <c:pt idx="1">
                  <c:v>Инвестиции в ОК из негосударственного сектора, 1999-2007 </c:v>
                </c:pt>
              </c:strCache>
            </c:strRef>
          </c:cat>
          <c:val>
            <c:numRef>
              <c:f>'Рисунки-5'!$B$27:$C$27</c:f>
              <c:numCache>
                <c:formatCode>0.0</c:formatCode>
                <c:ptCount val="2"/>
                <c:pt idx="0">
                  <c:v>21.772413781510789</c:v>
                </c:pt>
                <c:pt idx="1">
                  <c:v>13.300297613005506</c:v>
                </c:pt>
              </c:numCache>
            </c:numRef>
          </c:val>
        </c:ser>
        <c:ser>
          <c:idx val="2"/>
          <c:order val="2"/>
          <c:tx>
            <c:strRef>
              <c:f>'Рисунки-5'!$A$28</c:f>
              <c:strCache>
                <c:ptCount val="1"/>
                <c:pt idx="0">
                  <c:v>Регионы с низкими темпами ЭР</c:v>
                </c:pt>
              </c:strCache>
            </c:strRef>
          </c:tx>
          <c:dLbls>
            <c:showVal val="1"/>
          </c:dLbls>
          <c:cat>
            <c:strRef>
              <c:f>'Рисунки-5'!$B$25:$C$25</c:f>
              <c:strCache>
                <c:ptCount val="2"/>
                <c:pt idx="0">
                  <c:v>Инвестиции в ОК, 1999-2007</c:v>
                </c:pt>
                <c:pt idx="1">
                  <c:v>Инвестиции в ОК из негосударственного сектора, 1999-2007 </c:v>
                </c:pt>
              </c:strCache>
            </c:strRef>
          </c:cat>
          <c:val>
            <c:numRef>
              <c:f>'Рисунки-5'!$B$28:$C$28</c:f>
              <c:numCache>
                <c:formatCode>0.0</c:formatCode>
                <c:ptCount val="2"/>
                <c:pt idx="0">
                  <c:v>14.193132856043126</c:v>
                </c:pt>
                <c:pt idx="1">
                  <c:v>7.9180546504763685</c:v>
                </c:pt>
              </c:numCache>
            </c:numRef>
          </c:val>
        </c:ser>
        <c:axId val="173522304"/>
        <c:axId val="173532288"/>
      </c:barChart>
      <c:catAx>
        <c:axId val="173522304"/>
        <c:scaling>
          <c:orientation val="minMax"/>
        </c:scaling>
        <c:axPos val="b"/>
        <c:tickLblPos val="nextTo"/>
        <c:crossAx val="173532288"/>
        <c:crosses val="autoZero"/>
        <c:auto val="1"/>
        <c:lblAlgn val="ctr"/>
        <c:lblOffset val="100"/>
      </c:catAx>
      <c:valAx>
        <c:axId val="173532288"/>
        <c:scaling>
          <c:orientation val="minMax"/>
        </c:scaling>
        <c:axPos val="l"/>
        <c:majorGridlines/>
        <c:numFmt formatCode="0.0" sourceLinked="1"/>
        <c:tickLblPos val="nextTo"/>
        <c:crossAx val="173522304"/>
        <c:crosses val="autoZero"/>
        <c:crossBetween val="between"/>
      </c:valAx>
    </c:plotArea>
    <c:legend>
      <c:legendPos val="r"/>
      <c:layout>
        <c:manualLayout>
          <c:xMode val="edge"/>
          <c:yMode val="edge"/>
          <c:x val="0.76615419947506569"/>
          <c:y val="9.0865048118989114E-2"/>
          <c:w val="0.21717913385827159"/>
          <c:h val="0.83678805774278264"/>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812729658793287"/>
          <c:y val="4.8062855779391213E-2"/>
          <c:w val="0.6411128608923885"/>
          <c:h val="0.69528445307972875"/>
        </c:manualLayout>
      </c:layout>
      <c:barChart>
        <c:barDir val="col"/>
        <c:grouping val="clustered"/>
        <c:ser>
          <c:idx val="0"/>
          <c:order val="0"/>
          <c:tx>
            <c:strRef>
              <c:f>'1-3'!$A$4</c:f>
              <c:strCache>
                <c:ptCount val="1"/>
                <c:pt idx="0">
                  <c:v>Регионы с высоким ЭИЧР</c:v>
                </c:pt>
              </c:strCache>
            </c:strRef>
          </c:tx>
          <c:cat>
            <c:strRef>
              <c:f>'1-3'!$B$3:$E$3</c:f>
              <c:strCache>
                <c:ptCount val="4"/>
                <c:pt idx="0">
                  <c:v>Промышленость </c:v>
                </c:pt>
                <c:pt idx="1">
                  <c:v>Сельское хозяйство</c:v>
                </c:pt>
                <c:pt idx="2">
                  <c:v>Розничный товарооборот</c:v>
                </c:pt>
                <c:pt idx="3">
                  <c:v>Транспорт и связь </c:v>
                </c:pt>
              </c:strCache>
            </c:strRef>
          </c:cat>
          <c:val>
            <c:numRef>
              <c:f>'1-3'!$B$4:$E$4</c:f>
              <c:numCache>
                <c:formatCode>General</c:formatCode>
                <c:ptCount val="4"/>
                <c:pt idx="0" formatCode="_-* #,##0_р_._-;\-* #,##0_р_._-;_-* &quot;-&quot;??_р_._-;_-@_-">
                  <c:v>9351.0692545565926</c:v>
                </c:pt>
                <c:pt idx="2" formatCode="_-* #,##0_р_._-;\-* #,##0_р_._-;_-* &quot;-&quot;??_р_._-;_-@_-">
                  <c:v>7715.638745853048</c:v>
                </c:pt>
                <c:pt idx="3" formatCode="_-* #,##0_р_._-;\-* #,##0_р_._-;_-* &quot;-&quot;??_р_._-;_-@_-">
                  <c:v>756.40586511360038</c:v>
                </c:pt>
              </c:numCache>
            </c:numRef>
          </c:val>
        </c:ser>
        <c:ser>
          <c:idx val="1"/>
          <c:order val="1"/>
          <c:tx>
            <c:strRef>
              <c:f>'1-3'!$A$5</c:f>
              <c:strCache>
                <c:ptCount val="1"/>
                <c:pt idx="0">
                  <c:v>Регионы с высоким ЭИЧР (без Ташкента)</c:v>
                </c:pt>
              </c:strCache>
            </c:strRef>
          </c:tx>
          <c:cat>
            <c:strRef>
              <c:f>'1-3'!$B$3:$E$3</c:f>
              <c:strCache>
                <c:ptCount val="4"/>
                <c:pt idx="0">
                  <c:v>Промышленость </c:v>
                </c:pt>
                <c:pt idx="1">
                  <c:v>Сельское хозяйство</c:v>
                </c:pt>
                <c:pt idx="2">
                  <c:v>Розничный товарооборот</c:v>
                </c:pt>
                <c:pt idx="3">
                  <c:v>Транспорт и связь </c:v>
                </c:pt>
              </c:strCache>
            </c:strRef>
          </c:cat>
          <c:val>
            <c:numRef>
              <c:f>'1-3'!$B$5:$E$5</c:f>
              <c:numCache>
                <c:formatCode>_-* #,##0_р_._-;\-* #,##0_р_._-;_-* "-"??_р_._-;_-@_-</c:formatCode>
                <c:ptCount val="4"/>
                <c:pt idx="0">
                  <c:v>11243.286310320003</c:v>
                </c:pt>
                <c:pt idx="1">
                  <c:v>2164.5772391683668</c:v>
                </c:pt>
                <c:pt idx="2">
                  <c:v>6629.9017863012095</c:v>
                </c:pt>
                <c:pt idx="3">
                  <c:v>378.43965408712529</c:v>
                </c:pt>
              </c:numCache>
            </c:numRef>
          </c:val>
        </c:ser>
        <c:ser>
          <c:idx val="2"/>
          <c:order val="2"/>
          <c:tx>
            <c:strRef>
              <c:f>'1-3'!$A$6</c:f>
              <c:strCache>
                <c:ptCount val="1"/>
                <c:pt idx="0">
                  <c:v>Регионы со средним и  низким ЭИЧР</c:v>
                </c:pt>
              </c:strCache>
            </c:strRef>
          </c:tx>
          <c:cat>
            <c:strRef>
              <c:f>'1-3'!$B$3:$E$3</c:f>
              <c:strCache>
                <c:ptCount val="4"/>
                <c:pt idx="0">
                  <c:v>Промышленость </c:v>
                </c:pt>
                <c:pt idx="1">
                  <c:v>Сельское хозяйство</c:v>
                </c:pt>
                <c:pt idx="2">
                  <c:v>Розничный товарооборот</c:v>
                </c:pt>
                <c:pt idx="3">
                  <c:v>Транспорт и связь </c:v>
                </c:pt>
              </c:strCache>
            </c:strRef>
          </c:cat>
          <c:val>
            <c:numRef>
              <c:f>'1-3'!$B$6:$E$6</c:f>
              <c:numCache>
                <c:formatCode>_-* #,##0_р_._-;\-* #,##0_р_._-;_-* "-"??_р_._-;_-@_-</c:formatCode>
                <c:ptCount val="4"/>
                <c:pt idx="0">
                  <c:v>7204.3069055010146</c:v>
                </c:pt>
                <c:pt idx="1">
                  <c:v>1986.7814936830839</c:v>
                </c:pt>
                <c:pt idx="2">
                  <c:v>5246.0059830298051</c:v>
                </c:pt>
                <c:pt idx="3">
                  <c:v>379.23207366918194</c:v>
                </c:pt>
              </c:numCache>
            </c:numRef>
          </c:val>
        </c:ser>
        <c:axId val="190389248"/>
        <c:axId val="190395136"/>
      </c:barChart>
      <c:catAx>
        <c:axId val="190389248"/>
        <c:scaling>
          <c:orientation val="minMax"/>
        </c:scaling>
        <c:axPos val="b"/>
        <c:tickLblPos val="nextTo"/>
        <c:txPr>
          <a:bodyPr/>
          <a:lstStyle/>
          <a:p>
            <a:pPr>
              <a:defRPr sz="800" baseline="0"/>
            </a:pPr>
            <a:endParaRPr lang="ru-RU"/>
          </a:p>
        </c:txPr>
        <c:crossAx val="190395136"/>
        <c:crosses val="autoZero"/>
        <c:auto val="1"/>
        <c:lblAlgn val="ctr"/>
        <c:lblOffset val="100"/>
      </c:catAx>
      <c:valAx>
        <c:axId val="190395136"/>
        <c:scaling>
          <c:orientation val="minMax"/>
        </c:scaling>
        <c:axPos val="l"/>
        <c:majorGridlines/>
        <c:numFmt formatCode="_-* #,##0_р_._-;\-* #,##0_р_._-;_-* &quot;-&quot;??_р_._-;_-@_-" sourceLinked="1"/>
        <c:tickLblPos val="nextTo"/>
        <c:crossAx val="190389248"/>
        <c:crosses val="autoZero"/>
        <c:crossBetween val="between"/>
      </c:valAx>
    </c:plotArea>
    <c:legend>
      <c:legendPos val="r"/>
      <c:layout>
        <c:manualLayout>
          <c:xMode val="edge"/>
          <c:yMode val="edge"/>
          <c:x val="0.77979571303590389"/>
          <c:y val="0.14934212768858438"/>
          <c:w val="0.20353762029746394"/>
          <c:h val="0.51516855847564458"/>
        </c:manualLayout>
      </c:layout>
      <c:txPr>
        <a:bodyPr/>
        <a:lstStyle/>
        <a:p>
          <a:pPr>
            <a:defRPr sz="8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A371-EB72-40B7-9553-E2B89652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37</Pages>
  <Words>12710</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2011-05-29T03:02:00Z</dcterms:created>
  <dcterms:modified xsi:type="dcterms:W3CDTF">2011-06-05T02:37:00Z</dcterms:modified>
</cp:coreProperties>
</file>