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FE" w:rsidRPr="006A5551" w:rsidRDefault="00DC79FE" w:rsidP="00DC79FE">
      <w:pPr>
        <w:spacing w:before="100" w:after="0" w:line="240" w:lineRule="auto"/>
        <w:jc w:val="center"/>
        <w:rPr>
          <w:b/>
          <w:sz w:val="28"/>
          <w:szCs w:val="28"/>
        </w:rPr>
      </w:pPr>
      <w:r w:rsidRPr="006A5551">
        <w:rPr>
          <w:b/>
          <w:sz w:val="28"/>
          <w:szCs w:val="28"/>
        </w:rPr>
        <w:t xml:space="preserve">Приложение </w:t>
      </w:r>
      <w:r w:rsidR="00DD77A4">
        <w:rPr>
          <w:b/>
          <w:sz w:val="28"/>
          <w:szCs w:val="28"/>
        </w:rPr>
        <w:t>1</w:t>
      </w:r>
      <w:r w:rsidRPr="006A5551">
        <w:rPr>
          <w:b/>
          <w:sz w:val="28"/>
          <w:szCs w:val="28"/>
        </w:rPr>
        <w:t>. Методологи</w:t>
      </w:r>
      <w:r>
        <w:rPr>
          <w:b/>
          <w:sz w:val="28"/>
          <w:szCs w:val="28"/>
        </w:rPr>
        <w:t xml:space="preserve">ческие подходы к </w:t>
      </w:r>
      <w:r w:rsidRPr="006A5551">
        <w:rPr>
          <w:b/>
          <w:sz w:val="28"/>
          <w:szCs w:val="28"/>
        </w:rPr>
        <w:t>расчет</w:t>
      </w:r>
      <w:r>
        <w:rPr>
          <w:b/>
          <w:sz w:val="28"/>
          <w:szCs w:val="28"/>
        </w:rPr>
        <w:t>у</w:t>
      </w:r>
      <w:r w:rsidRPr="006A5551">
        <w:rPr>
          <w:b/>
          <w:sz w:val="28"/>
          <w:szCs w:val="28"/>
        </w:rPr>
        <w:t xml:space="preserve"> </w:t>
      </w:r>
      <w:r>
        <w:rPr>
          <w:b/>
          <w:sz w:val="28"/>
          <w:szCs w:val="28"/>
        </w:rPr>
        <w:t xml:space="preserve">показателей </w:t>
      </w:r>
      <w:r w:rsidRPr="006A5551">
        <w:rPr>
          <w:b/>
          <w:sz w:val="28"/>
          <w:szCs w:val="28"/>
        </w:rPr>
        <w:t xml:space="preserve">регионального </w:t>
      </w:r>
      <w:r>
        <w:rPr>
          <w:b/>
          <w:sz w:val="28"/>
          <w:szCs w:val="28"/>
        </w:rPr>
        <w:t>неравенства</w:t>
      </w:r>
    </w:p>
    <w:p w:rsidR="00DC79FE" w:rsidRPr="006A5551" w:rsidRDefault="00DC79FE" w:rsidP="00DC79FE">
      <w:pPr>
        <w:pStyle w:val="a4"/>
        <w:spacing w:beforeAutospacing="0" w:after="0" w:afterAutospacing="0"/>
        <w:jc w:val="both"/>
        <w:rPr>
          <w:sz w:val="22"/>
          <w:szCs w:val="22"/>
        </w:rPr>
      </w:pPr>
    </w:p>
    <w:p w:rsidR="00DC79FE" w:rsidRPr="006A5551" w:rsidRDefault="00F45AB9" w:rsidP="00DC79FE">
      <w:pPr>
        <w:pStyle w:val="a4"/>
        <w:spacing w:beforeAutospacing="0" w:after="0" w:afterAutospacing="0"/>
        <w:jc w:val="both"/>
        <w:rPr>
          <w:sz w:val="22"/>
          <w:szCs w:val="22"/>
        </w:rPr>
      </w:pPr>
      <w:r>
        <w:rPr>
          <w:sz w:val="22"/>
          <w:szCs w:val="22"/>
        </w:rPr>
        <w:t>В данном докладе степень межрегионального неравенства была про</w:t>
      </w:r>
      <w:r w:rsidR="00DC79FE" w:rsidRPr="006A5551">
        <w:rPr>
          <w:sz w:val="22"/>
          <w:szCs w:val="22"/>
        </w:rPr>
        <w:t>и</w:t>
      </w:r>
      <w:r w:rsidR="00DC79FE">
        <w:rPr>
          <w:sz w:val="22"/>
          <w:szCs w:val="22"/>
        </w:rPr>
        <w:t>ллюстр</w:t>
      </w:r>
      <w:r>
        <w:rPr>
          <w:sz w:val="22"/>
          <w:szCs w:val="22"/>
        </w:rPr>
        <w:t>ирована с помощью</w:t>
      </w:r>
      <w:r w:rsidR="00DC79FE" w:rsidRPr="006A5551">
        <w:rPr>
          <w:sz w:val="22"/>
          <w:szCs w:val="22"/>
        </w:rPr>
        <w:t xml:space="preserve"> </w:t>
      </w:r>
      <w:r w:rsidR="00DC79FE" w:rsidRPr="00DC79FE">
        <w:rPr>
          <w:b/>
          <w:sz w:val="22"/>
          <w:szCs w:val="22"/>
        </w:rPr>
        <w:t>крив</w:t>
      </w:r>
      <w:r>
        <w:rPr>
          <w:b/>
          <w:sz w:val="22"/>
          <w:szCs w:val="22"/>
        </w:rPr>
        <w:t>ой</w:t>
      </w:r>
      <w:r w:rsidR="00DC79FE" w:rsidRPr="00DC79FE">
        <w:rPr>
          <w:b/>
          <w:sz w:val="22"/>
          <w:szCs w:val="22"/>
        </w:rPr>
        <w:t xml:space="preserve"> Лоренца</w:t>
      </w:r>
      <w:r w:rsidR="00DC79FE" w:rsidRPr="006A5551">
        <w:rPr>
          <w:sz w:val="22"/>
          <w:szCs w:val="22"/>
        </w:rPr>
        <w:t xml:space="preserve"> и </w:t>
      </w:r>
      <w:r w:rsidR="00DC79FE" w:rsidRPr="00DC79FE">
        <w:rPr>
          <w:b/>
          <w:sz w:val="22"/>
          <w:szCs w:val="22"/>
        </w:rPr>
        <w:t>коэффициент</w:t>
      </w:r>
      <w:r>
        <w:rPr>
          <w:b/>
          <w:sz w:val="22"/>
          <w:szCs w:val="22"/>
        </w:rPr>
        <w:t>а</w:t>
      </w:r>
      <w:r w:rsidR="00DC79FE" w:rsidRPr="00DC79FE">
        <w:rPr>
          <w:b/>
          <w:sz w:val="22"/>
          <w:szCs w:val="22"/>
        </w:rPr>
        <w:t xml:space="preserve"> Джини</w:t>
      </w:r>
      <w:r w:rsidR="00DC79FE" w:rsidRPr="006A5551">
        <w:rPr>
          <w:sz w:val="22"/>
          <w:szCs w:val="22"/>
        </w:rPr>
        <w:t xml:space="preserve">. </w:t>
      </w:r>
      <w:r>
        <w:rPr>
          <w:sz w:val="22"/>
          <w:szCs w:val="22"/>
        </w:rPr>
        <w:t>Х</w:t>
      </w:r>
      <w:r w:rsidRPr="006A5551">
        <w:rPr>
          <w:sz w:val="22"/>
          <w:szCs w:val="22"/>
        </w:rPr>
        <w:t xml:space="preserve">отя обычно </w:t>
      </w:r>
      <w:r>
        <w:rPr>
          <w:sz w:val="22"/>
          <w:szCs w:val="22"/>
        </w:rPr>
        <w:t xml:space="preserve">эти инструменты </w:t>
      </w:r>
      <w:r w:rsidRPr="006A5551">
        <w:rPr>
          <w:sz w:val="22"/>
          <w:szCs w:val="22"/>
        </w:rPr>
        <w:t>использу</w:t>
      </w:r>
      <w:r>
        <w:rPr>
          <w:sz w:val="22"/>
          <w:szCs w:val="22"/>
        </w:rPr>
        <w:t>ю</w:t>
      </w:r>
      <w:r w:rsidRPr="006A5551">
        <w:rPr>
          <w:sz w:val="22"/>
          <w:szCs w:val="22"/>
        </w:rPr>
        <w:t>тся для выражения неравенства в распределении доходов</w:t>
      </w:r>
      <w:r>
        <w:rPr>
          <w:sz w:val="22"/>
          <w:szCs w:val="22"/>
        </w:rPr>
        <w:t>, их можно</w:t>
      </w:r>
      <w:r w:rsidR="00DC79FE" w:rsidRPr="006A5551">
        <w:rPr>
          <w:sz w:val="22"/>
          <w:szCs w:val="22"/>
        </w:rPr>
        <w:t xml:space="preserve"> </w:t>
      </w:r>
      <w:r>
        <w:rPr>
          <w:sz w:val="22"/>
          <w:szCs w:val="22"/>
        </w:rPr>
        <w:t>применять</w:t>
      </w:r>
      <w:r w:rsidR="00DC79FE" w:rsidRPr="006A5551">
        <w:rPr>
          <w:sz w:val="22"/>
          <w:szCs w:val="22"/>
        </w:rPr>
        <w:t xml:space="preserve"> для </w:t>
      </w:r>
      <w:r w:rsidR="00DC79FE">
        <w:rPr>
          <w:sz w:val="22"/>
          <w:szCs w:val="22"/>
        </w:rPr>
        <w:t>х</w:t>
      </w:r>
      <w:r w:rsidR="00DC79FE" w:rsidRPr="006A5551">
        <w:rPr>
          <w:sz w:val="22"/>
          <w:szCs w:val="22"/>
        </w:rPr>
        <w:t>арактеристики неравномерности распределения любого распределяемого признака</w:t>
      </w:r>
      <w:r w:rsidR="009C2421">
        <w:rPr>
          <w:sz w:val="22"/>
          <w:szCs w:val="22"/>
        </w:rPr>
        <w:t>.</w:t>
      </w:r>
      <w:r w:rsidR="00DC79FE" w:rsidRPr="006A5551">
        <w:rPr>
          <w:sz w:val="22"/>
          <w:szCs w:val="22"/>
        </w:rPr>
        <w:t xml:space="preserve"> Если можно выделить группы единиц совокупности, каждая из которых имеет определенную долю распределяемого признака, то кривая Лоренца и индекс Джини могут использоваться для характеристики неравенства распределения. </w:t>
      </w:r>
    </w:p>
    <w:p w:rsidR="00DC79FE" w:rsidRPr="006A5551" w:rsidRDefault="00DC79FE" w:rsidP="00DC79FE">
      <w:pPr>
        <w:pStyle w:val="a4"/>
        <w:spacing w:beforeAutospacing="0" w:after="0" w:afterAutospacing="0"/>
        <w:jc w:val="both"/>
        <w:rPr>
          <w:sz w:val="22"/>
          <w:szCs w:val="22"/>
        </w:rPr>
      </w:pPr>
      <w:r w:rsidRPr="006A5551">
        <w:rPr>
          <w:sz w:val="22"/>
          <w:szCs w:val="22"/>
        </w:rPr>
        <w:t>Индекс Джини выводится из кривой Лоренца (</w:t>
      </w:r>
      <w:r w:rsidRPr="006A5551">
        <w:rPr>
          <w:i/>
          <w:sz w:val="22"/>
          <w:szCs w:val="22"/>
          <w:lang w:val="en-US"/>
        </w:rPr>
        <w:t>Lorenz</w:t>
      </w:r>
      <w:r w:rsidRPr="006A5551">
        <w:rPr>
          <w:i/>
          <w:sz w:val="22"/>
          <w:szCs w:val="22"/>
        </w:rPr>
        <w:t xml:space="preserve"> </w:t>
      </w:r>
      <w:r w:rsidRPr="006A5551">
        <w:rPr>
          <w:i/>
          <w:sz w:val="22"/>
          <w:szCs w:val="22"/>
          <w:lang w:val="en-US"/>
        </w:rPr>
        <w:t>curv</w:t>
      </w:r>
      <w:r w:rsidRPr="006A5551">
        <w:rPr>
          <w:sz w:val="22"/>
          <w:szCs w:val="22"/>
          <w:lang w:val="en-US"/>
        </w:rPr>
        <w:t>e</w:t>
      </w:r>
      <w:r w:rsidRPr="006A5551">
        <w:rPr>
          <w:sz w:val="22"/>
          <w:szCs w:val="22"/>
        </w:rPr>
        <w:t>), которая представляет собой кумулятивное распределение единиц совокупности, например, населения, ранжированное от тех, на каждую из которых приходится наименьшее значение признака (например, беднейших по доходу), к тем, на которые приходится наибольшее значение признака, например, наиболее богатым. Долю единиц совокупности располагают на  горизонтальной оси, а соответствующие им доли распределяемого признака -</w:t>
      </w:r>
      <w:r>
        <w:rPr>
          <w:sz w:val="22"/>
          <w:szCs w:val="22"/>
        </w:rPr>
        <w:t xml:space="preserve"> </w:t>
      </w:r>
      <w:r w:rsidRPr="006A5551">
        <w:rPr>
          <w:sz w:val="22"/>
          <w:szCs w:val="22"/>
        </w:rPr>
        <w:t>на вертикальной оси. Точки на кривой Лоренца определяют накопленную долю единиц совокупности, к которой относи</w:t>
      </w:r>
      <w:r w:rsidRPr="00F45AB9">
        <w:rPr>
          <w:sz w:val="22"/>
          <w:szCs w:val="22"/>
        </w:rPr>
        <w:t>тся определенная доля показателя.</w:t>
      </w:r>
      <w:r w:rsidR="00F45AB9" w:rsidRPr="00F45AB9">
        <w:rPr>
          <w:sz w:val="22"/>
          <w:szCs w:val="22"/>
        </w:rPr>
        <w:t xml:space="preserve"> При этом каждый регион рассматривается как отдельная единица. Учитывая, что численность населения регионов неодинакова, регионы проранжированы с учетом доли каждого региона в общей численности населения страны.</w:t>
      </w:r>
    </w:p>
    <w:p w:rsidR="00DC79FE" w:rsidRPr="006A5551" w:rsidRDefault="00DC79FE" w:rsidP="00DC79FE">
      <w:pPr>
        <w:pStyle w:val="a4"/>
        <w:spacing w:beforeAutospacing="0" w:after="0" w:afterAutospacing="0"/>
        <w:jc w:val="both"/>
        <w:rPr>
          <w:sz w:val="22"/>
          <w:szCs w:val="22"/>
        </w:rPr>
      </w:pPr>
      <w:r w:rsidRPr="006A5551">
        <w:rPr>
          <w:sz w:val="22"/>
          <w:szCs w:val="22"/>
        </w:rPr>
        <w:t xml:space="preserve">Коэффициент Джини графически представляет собой отношение площади между кривой Лоренца и линией абсолютного равенства к площади треугольника, лежащей под линией абсолютного равенства. Он принимает значения от 0 до 1 (0 в случае абсолютного равенства в распределении, 1 – в случае абсолютного неравенства). Поскольку фигура между линией полного равенства и кривой </w:t>
      </w:r>
      <w:r>
        <w:rPr>
          <w:sz w:val="22"/>
          <w:szCs w:val="22"/>
        </w:rPr>
        <w:t>Л</w:t>
      </w:r>
      <w:r w:rsidRPr="006A5551">
        <w:rPr>
          <w:sz w:val="22"/>
          <w:szCs w:val="22"/>
        </w:rPr>
        <w:t xml:space="preserve">оренца является </w:t>
      </w:r>
      <w:r>
        <w:rPr>
          <w:sz w:val="22"/>
          <w:szCs w:val="22"/>
        </w:rPr>
        <w:t>«</w:t>
      </w:r>
      <w:r w:rsidRPr="006A5551">
        <w:rPr>
          <w:sz w:val="22"/>
          <w:szCs w:val="22"/>
        </w:rPr>
        <w:t>криволинейной», т.е. одна из ее границ представлена не прямой, а кривой линией, ее площадь, строго говоря, должна быть най</w:t>
      </w:r>
      <w:r>
        <w:rPr>
          <w:sz w:val="22"/>
          <w:szCs w:val="22"/>
        </w:rPr>
        <w:t>д</w:t>
      </w:r>
      <w:r w:rsidRPr="006A5551">
        <w:rPr>
          <w:sz w:val="22"/>
          <w:szCs w:val="22"/>
        </w:rPr>
        <w:t>ена с использованием интегрального исчисления. Но существует несколько формул приближенного вычисления коэффициента Джини. В настоящем докладе была использована следующая:</w:t>
      </w:r>
    </w:p>
    <w:p w:rsidR="006A5551" w:rsidRDefault="00DC79FE" w:rsidP="00864D64">
      <w:pPr>
        <w:pStyle w:val="a4"/>
        <w:spacing w:beforeAutospacing="0" w:after="0" w:afterAutospacing="0"/>
        <w:jc w:val="both"/>
      </w:pPr>
      <w:r w:rsidRPr="006A5551">
        <w:rPr>
          <w:position w:val="-28"/>
          <w:sz w:val="22"/>
          <w:szCs w:val="22"/>
        </w:rPr>
        <w:object w:dxaOrig="2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33.5pt" o:ole="">
            <v:imagedata r:id="rId8" o:title=""/>
          </v:shape>
          <o:OLEObject Type="Embed" ProgID="Equation.DSMT4" ShapeID="_x0000_i1025" DrawAspect="Content" ObjectID="_1363103606" r:id="rId9"/>
        </w:object>
      </w:r>
      <w:r w:rsidRPr="006A5551">
        <w:rPr>
          <w:sz w:val="22"/>
          <w:szCs w:val="22"/>
        </w:rPr>
        <w:t xml:space="preserve">, где: </w:t>
      </w:r>
      <w:r w:rsidRPr="006A5551">
        <w:rPr>
          <w:position w:val="-12"/>
          <w:sz w:val="22"/>
          <w:szCs w:val="22"/>
        </w:rPr>
        <w:object w:dxaOrig="260" w:dyaOrig="360">
          <v:shape id="_x0000_i1026" type="#_x0000_t75" style="width:12.5pt;height:18.5pt" o:ole="">
            <v:imagedata r:id="rId10" o:title=""/>
          </v:shape>
          <o:OLEObject Type="Embed" ProgID="Equation.DSMT4" ShapeID="_x0000_i1026" DrawAspect="Content" ObjectID="_1363103607" r:id="rId11"/>
        </w:object>
      </w:r>
      <w:r w:rsidRPr="006A5551">
        <w:rPr>
          <w:sz w:val="22"/>
          <w:szCs w:val="22"/>
        </w:rPr>
        <w:t xml:space="preserve">- доля единиц совокупности (в данном докладе – населения), на которую приходится данная доля распределяемого показателя, </w:t>
      </w:r>
      <w:r w:rsidRPr="006A5551">
        <w:rPr>
          <w:position w:val="-12"/>
          <w:sz w:val="22"/>
          <w:szCs w:val="22"/>
        </w:rPr>
        <w:object w:dxaOrig="260" w:dyaOrig="360">
          <v:shape id="_x0000_i1027" type="#_x0000_t75" style="width:12.5pt;height:18.5pt" o:ole="">
            <v:imagedata r:id="rId12" o:title=""/>
          </v:shape>
          <o:OLEObject Type="Embed" ProgID="Equation.DSMT4" ShapeID="_x0000_i1027" DrawAspect="Content" ObjectID="_1363103608" r:id="rId13"/>
        </w:object>
      </w:r>
      <w:r w:rsidRPr="006A5551">
        <w:rPr>
          <w:sz w:val="22"/>
          <w:szCs w:val="22"/>
        </w:rPr>
        <w:t xml:space="preserve">= доля показателя, приходящегося на </w:t>
      </w:r>
      <w:r w:rsidRPr="006A5551">
        <w:rPr>
          <w:sz w:val="22"/>
          <w:szCs w:val="22"/>
          <w:lang w:val="en-US"/>
        </w:rPr>
        <w:t>i</w:t>
      </w:r>
      <w:r w:rsidRPr="006A5551">
        <w:rPr>
          <w:sz w:val="22"/>
          <w:szCs w:val="22"/>
        </w:rPr>
        <w:t xml:space="preserve">-ю группу населения, </w:t>
      </w:r>
      <w:r w:rsidRPr="006A5551">
        <w:rPr>
          <w:position w:val="-12"/>
          <w:sz w:val="22"/>
          <w:szCs w:val="22"/>
        </w:rPr>
        <w:object w:dxaOrig="660" w:dyaOrig="360">
          <v:shape id="_x0000_i1028" type="#_x0000_t75" style="width:33.5pt;height:18.5pt" o:ole="">
            <v:imagedata r:id="rId14" o:title=""/>
          </v:shape>
          <o:OLEObject Type="Embed" ProgID="Equation.DSMT4" ShapeID="_x0000_i1028" DrawAspect="Content" ObjectID="_1363103609" r:id="rId15"/>
        </w:object>
      </w:r>
      <w:r w:rsidRPr="006A5551">
        <w:rPr>
          <w:sz w:val="22"/>
          <w:szCs w:val="22"/>
        </w:rPr>
        <w:t xml:space="preserve">доля показателя, приходящаяся на долю всех групп населения от 1-й до </w:t>
      </w:r>
      <w:r w:rsidRPr="006A5551">
        <w:rPr>
          <w:sz w:val="22"/>
          <w:szCs w:val="22"/>
          <w:lang w:val="en-US"/>
        </w:rPr>
        <w:t>i</w:t>
      </w:r>
      <w:r w:rsidRPr="006A5551">
        <w:rPr>
          <w:sz w:val="22"/>
          <w:szCs w:val="22"/>
        </w:rPr>
        <w:t xml:space="preserve">-й. </w:t>
      </w:r>
      <w:r w:rsidR="006A5551">
        <w:br w:type="page"/>
      </w:r>
    </w:p>
    <w:p w:rsidR="00DC79FE" w:rsidRPr="006A5551" w:rsidRDefault="00DC79FE" w:rsidP="00DC79FE">
      <w:pPr>
        <w:spacing w:before="100" w:after="0" w:line="240" w:lineRule="auto"/>
        <w:jc w:val="center"/>
        <w:rPr>
          <w:b/>
          <w:sz w:val="28"/>
          <w:szCs w:val="28"/>
        </w:rPr>
      </w:pPr>
      <w:r w:rsidRPr="006A5551">
        <w:rPr>
          <w:b/>
          <w:sz w:val="28"/>
          <w:szCs w:val="28"/>
        </w:rPr>
        <w:lastRenderedPageBreak/>
        <w:t xml:space="preserve">Приложение </w:t>
      </w:r>
      <w:r w:rsidR="00F45AB9">
        <w:rPr>
          <w:b/>
          <w:sz w:val="28"/>
          <w:szCs w:val="28"/>
        </w:rPr>
        <w:t>2</w:t>
      </w:r>
      <w:r w:rsidRPr="006A5551">
        <w:rPr>
          <w:b/>
          <w:sz w:val="28"/>
          <w:szCs w:val="28"/>
        </w:rPr>
        <w:t>. Методология расчета регионального индекса человеческого развития для Узбекистана</w:t>
      </w:r>
    </w:p>
    <w:p w:rsidR="006A5551" w:rsidRDefault="006A5551" w:rsidP="006A5551">
      <w:pPr>
        <w:autoSpaceDE w:val="0"/>
        <w:autoSpaceDN w:val="0"/>
        <w:adjustRightInd w:val="0"/>
        <w:spacing w:before="100" w:after="0" w:line="240" w:lineRule="auto"/>
        <w:jc w:val="both"/>
        <w:rPr>
          <w:sz w:val="22"/>
        </w:rPr>
      </w:pPr>
    </w:p>
    <w:p w:rsidR="006A5551" w:rsidRDefault="006A5551" w:rsidP="006A5551">
      <w:pPr>
        <w:autoSpaceDE w:val="0"/>
        <w:autoSpaceDN w:val="0"/>
        <w:adjustRightInd w:val="0"/>
        <w:spacing w:before="100" w:after="0" w:line="240" w:lineRule="auto"/>
        <w:jc w:val="both"/>
        <w:rPr>
          <w:sz w:val="22"/>
        </w:rPr>
      </w:pPr>
      <w:r w:rsidRPr="006A5551">
        <w:rPr>
          <w:sz w:val="22"/>
        </w:rPr>
        <w:t>Развитие человеческого потенциала является многомерным понятием, которое включа</w:t>
      </w:r>
      <w:r>
        <w:rPr>
          <w:sz w:val="22"/>
        </w:rPr>
        <w:t>е</w:t>
      </w:r>
      <w:r w:rsidRPr="006A5551">
        <w:rPr>
          <w:sz w:val="22"/>
        </w:rPr>
        <w:t xml:space="preserve">т в себя различное число конкретных измерений (индикаторов). Эти индикаторы могут отражать </w:t>
      </w:r>
      <w:r w:rsidR="00CD6A23">
        <w:rPr>
          <w:sz w:val="22"/>
        </w:rPr>
        <w:t xml:space="preserve">самые </w:t>
      </w:r>
      <w:r w:rsidRPr="006A5551">
        <w:rPr>
          <w:sz w:val="22"/>
        </w:rPr>
        <w:t>раз</w:t>
      </w:r>
      <w:r w:rsidR="00CD6A23">
        <w:rPr>
          <w:sz w:val="22"/>
        </w:rPr>
        <w:t>н</w:t>
      </w:r>
      <w:r w:rsidRPr="006A5551">
        <w:rPr>
          <w:sz w:val="22"/>
        </w:rPr>
        <w:t>ые явления: материально</w:t>
      </w:r>
      <w:r w:rsidR="00CD6A23">
        <w:rPr>
          <w:sz w:val="22"/>
        </w:rPr>
        <w:t>е</w:t>
      </w:r>
      <w:r w:rsidRPr="006A5551">
        <w:rPr>
          <w:sz w:val="22"/>
        </w:rPr>
        <w:t xml:space="preserve"> благополучи</w:t>
      </w:r>
      <w:r w:rsidR="00CD6A23">
        <w:rPr>
          <w:sz w:val="22"/>
        </w:rPr>
        <w:t>е</w:t>
      </w:r>
      <w:r w:rsidRPr="006A5551">
        <w:rPr>
          <w:sz w:val="22"/>
        </w:rPr>
        <w:t>, социальные</w:t>
      </w:r>
      <w:r w:rsidR="00CD6A23">
        <w:rPr>
          <w:sz w:val="22"/>
        </w:rPr>
        <w:t>,</w:t>
      </w:r>
      <w:r w:rsidRPr="006A5551">
        <w:rPr>
          <w:sz w:val="22"/>
        </w:rPr>
        <w:t xml:space="preserve"> психологические, экологические, медицинские и другие в зависимости от актуальности той или иной проблематики для данного общества и специфики понимания в нем благосостояния и развития. Для интегральной оценки благосостояния и социального благополучия людей на уровне стран и для международных сопоставлений используются композитные индексы – сводные показатели, конструируемые из конкретных индикаторов путем определенных математических операций с ними. Теория измерения благосостояния начала активно развиваться с 50-х годов </w:t>
      </w:r>
      <w:r w:rsidRPr="006A5551">
        <w:rPr>
          <w:sz w:val="22"/>
          <w:lang w:val="en-US"/>
        </w:rPr>
        <w:t>XX</w:t>
      </w:r>
      <w:r w:rsidRPr="006A5551">
        <w:rPr>
          <w:sz w:val="22"/>
        </w:rPr>
        <w:t xml:space="preserve"> века. За это время вниманию международной общественности было представлено около 20 композитных индексов, отражающих различные измерения благосостояния. </w:t>
      </w:r>
    </w:p>
    <w:p w:rsidR="006A5551" w:rsidRPr="006A5551" w:rsidRDefault="006A5551" w:rsidP="006A5551">
      <w:pPr>
        <w:autoSpaceDE w:val="0"/>
        <w:autoSpaceDN w:val="0"/>
        <w:adjustRightInd w:val="0"/>
        <w:spacing w:before="100" w:after="0" w:line="240" w:lineRule="auto"/>
        <w:jc w:val="both"/>
        <w:rPr>
          <w:sz w:val="22"/>
        </w:rPr>
      </w:pPr>
      <w:r w:rsidRPr="006A5551">
        <w:rPr>
          <w:sz w:val="22"/>
        </w:rPr>
        <w:t>Наибольшую известность и внимание общественности получил Индекс человеческого развития (</w:t>
      </w:r>
      <w:r w:rsidRPr="006A5551">
        <w:rPr>
          <w:sz w:val="22"/>
          <w:lang w:val="en-US"/>
        </w:rPr>
        <w:t>HDI</w:t>
      </w:r>
      <w:r w:rsidR="00CD6A23">
        <w:rPr>
          <w:sz w:val="22"/>
        </w:rPr>
        <w:t xml:space="preserve"> </w:t>
      </w:r>
      <w:r w:rsidRPr="006A5551">
        <w:rPr>
          <w:sz w:val="22"/>
        </w:rPr>
        <w:t>-</w:t>
      </w:r>
      <w:r w:rsidR="00CD6A23">
        <w:rPr>
          <w:sz w:val="22"/>
        </w:rPr>
        <w:t xml:space="preserve"> </w:t>
      </w:r>
      <w:r w:rsidRPr="006A5551">
        <w:rPr>
          <w:sz w:val="22"/>
        </w:rPr>
        <w:t>ИЧР). Его расчет веде</w:t>
      </w:r>
      <w:r>
        <w:rPr>
          <w:sz w:val="22"/>
        </w:rPr>
        <w:t xml:space="preserve">тся </w:t>
      </w:r>
      <w:r w:rsidRPr="006A5551">
        <w:rPr>
          <w:sz w:val="22"/>
        </w:rPr>
        <w:t>ПРООН по странам-членам ООН, начиная с 1990 года. Из других композитных индексов широкую известность получили: Индекс физического качества жизни.(</w:t>
      </w:r>
      <w:r w:rsidRPr="006A5551">
        <w:rPr>
          <w:sz w:val="22"/>
          <w:lang w:val="en-US"/>
        </w:rPr>
        <w:t>PQLI</w:t>
      </w:r>
      <w:r w:rsidRPr="006A5551">
        <w:rPr>
          <w:sz w:val="22"/>
        </w:rPr>
        <w:t xml:space="preserve">, </w:t>
      </w:r>
      <w:r w:rsidRPr="006A5551">
        <w:rPr>
          <w:sz w:val="22"/>
          <w:lang w:val="en-US"/>
        </w:rPr>
        <w:t>Morris</w:t>
      </w:r>
      <w:r w:rsidRPr="006A5551">
        <w:rPr>
          <w:sz w:val="22"/>
        </w:rPr>
        <w:t xml:space="preserve"> 1979), Комбинированный индекс качества жизни (</w:t>
      </w:r>
      <w:r w:rsidRPr="006A5551">
        <w:rPr>
          <w:sz w:val="22"/>
          <w:lang w:val="en-US"/>
        </w:rPr>
        <w:t>CQLI</w:t>
      </w:r>
      <w:r w:rsidRPr="006A5551">
        <w:rPr>
          <w:sz w:val="22"/>
        </w:rPr>
        <w:t xml:space="preserve">, </w:t>
      </w:r>
      <w:r w:rsidRPr="006A5551">
        <w:rPr>
          <w:sz w:val="22"/>
          <w:lang w:val="en-US"/>
        </w:rPr>
        <w:t>Diener</w:t>
      </w:r>
      <w:r w:rsidRPr="006A5551">
        <w:rPr>
          <w:sz w:val="22"/>
        </w:rPr>
        <w:t xml:space="preserve"> 1995), Индекс человеческих страданий (</w:t>
      </w:r>
      <w:r w:rsidRPr="006A5551">
        <w:rPr>
          <w:sz w:val="22"/>
          <w:lang w:val="en-US"/>
        </w:rPr>
        <w:t>HSI</w:t>
      </w:r>
      <w:r w:rsidRPr="006A5551">
        <w:rPr>
          <w:sz w:val="22"/>
        </w:rPr>
        <w:t xml:space="preserve">, </w:t>
      </w:r>
      <w:r w:rsidRPr="006A5551">
        <w:rPr>
          <w:sz w:val="22"/>
          <w:lang w:val="en-US"/>
        </w:rPr>
        <w:t>Camp</w:t>
      </w:r>
      <w:r w:rsidRPr="006A5551">
        <w:rPr>
          <w:sz w:val="22"/>
        </w:rPr>
        <w:t xml:space="preserve"> </w:t>
      </w:r>
      <w:r w:rsidRPr="006A5551">
        <w:rPr>
          <w:sz w:val="22"/>
          <w:lang w:val="en-US"/>
        </w:rPr>
        <w:t>and</w:t>
      </w:r>
      <w:r w:rsidRPr="006A5551">
        <w:rPr>
          <w:sz w:val="22"/>
        </w:rPr>
        <w:t xml:space="preserve"> </w:t>
      </w:r>
      <w:r w:rsidRPr="006A5551">
        <w:rPr>
          <w:sz w:val="22"/>
          <w:lang w:val="en-US"/>
        </w:rPr>
        <w:t>Speidel</w:t>
      </w:r>
      <w:r w:rsidRPr="006A5551">
        <w:rPr>
          <w:sz w:val="22"/>
        </w:rPr>
        <w:t xml:space="preserve"> 1987, </w:t>
      </w:r>
      <w:r w:rsidRPr="006A5551">
        <w:rPr>
          <w:sz w:val="22"/>
          <w:lang w:val="en-US"/>
        </w:rPr>
        <w:t>Hess</w:t>
      </w:r>
      <w:r w:rsidRPr="006A5551">
        <w:rPr>
          <w:sz w:val="22"/>
        </w:rPr>
        <w:t xml:space="preserve"> 1989, </w:t>
      </w:r>
      <w:r w:rsidRPr="006A5551">
        <w:rPr>
          <w:sz w:val="22"/>
          <w:lang w:val="en-US"/>
        </w:rPr>
        <w:t>Tilak</w:t>
      </w:r>
      <w:r w:rsidRPr="006A5551">
        <w:rPr>
          <w:sz w:val="22"/>
        </w:rPr>
        <w:t xml:space="preserve"> 1992). Также в число этих индексов можно включить разработанные Исследовательским институтом социального развития ООН Индекс уровня жизни (</w:t>
      </w:r>
      <w:r w:rsidRPr="006A5551">
        <w:rPr>
          <w:sz w:val="22"/>
          <w:lang w:val="en-US"/>
        </w:rPr>
        <w:t>LLI</w:t>
      </w:r>
      <w:r w:rsidRPr="006A5551">
        <w:rPr>
          <w:sz w:val="22"/>
        </w:rPr>
        <w:t xml:space="preserve">, </w:t>
      </w:r>
      <w:r w:rsidRPr="006A5551">
        <w:rPr>
          <w:sz w:val="22"/>
          <w:lang w:val="en-US"/>
        </w:rPr>
        <w:t>Drewnowski</w:t>
      </w:r>
      <w:r w:rsidRPr="006A5551">
        <w:rPr>
          <w:sz w:val="22"/>
        </w:rPr>
        <w:t xml:space="preserve"> </w:t>
      </w:r>
      <w:r w:rsidRPr="006A5551">
        <w:rPr>
          <w:sz w:val="22"/>
          <w:lang w:val="en-US"/>
        </w:rPr>
        <w:t>and</w:t>
      </w:r>
      <w:r w:rsidRPr="006A5551">
        <w:rPr>
          <w:sz w:val="22"/>
        </w:rPr>
        <w:t xml:space="preserve"> </w:t>
      </w:r>
      <w:r w:rsidRPr="006A5551">
        <w:rPr>
          <w:sz w:val="22"/>
          <w:lang w:val="en-US"/>
        </w:rPr>
        <w:t>Scott</w:t>
      </w:r>
      <w:r w:rsidRPr="006A5551">
        <w:rPr>
          <w:sz w:val="22"/>
        </w:rPr>
        <w:t xml:space="preserve"> 1966), Общий индекс развития (</w:t>
      </w:r>
      <w:r w:rsidRPr="006A5551">
        <w:rPr>
          <w:sz w:val="22"/>
          <w:lang w:val="en-US"/>
        </w:rPr>
        <w:t>GID</w:t>
      </w:r>
      <w:r w:rsidRPr="006A5551">
        <w:rPr>
          <w:sz w:val="22"/>
        </w:rPr>
        <w:t xml:space="preserve">, </w:t>
      </w:r>
      <w:r w:rsidRPr="006A5551">
        <w:rPr>
          <w:sz w:val="22"/>
          <w:lang w:val="en-US"/>
        </w:rPr>
        <w:t>McGranahan</w:t>
      </w:r>
      <w:r w:rsidRPr="006A5551">
        <w:rPr>
          <w:sz w:val="22"/>
        </w:rPr>
        <w:t xml:space="preserve"> </w:t>
      </w:r>
      <w:r w:rsidRPr="006A5551">
        <w:rPr>
          <w:i/>
          <w:iCs/>
          <w:sz w:val="22"/>
          <w:lang w:val="en-US"/>
        </w:rPr>
        <w:t>et</w:t>
      </w:r>
      <w:r w:rsidRPr="006A5551">
        <w:rPr>
          <w:i/>
          <w:iCs/>
          <w:sz w:val="22"/>
        </w:rPr>
        <w:t xml:space="preserve"> </w:t>
      </w:r>
      <w:r w:rsidRPr="006A5551">
        <w:rPr>
          <w:i/>
          <w:iCs/>
          <w:sz w:val="22"/>
          <w:lang w:val="en-US"/>
        </w:rPr>
        <w:t>al</w:t>
      </w:r>
      <w:r w:rsidRPr="006A5551">
        <w:rPr>
          <w:i/>
          <w:iCs/>
          <w:sz w:val="22"/>
        </w:rPr>
        <w:t xml:space="preserve">. </w:t>
      </w:r>
      <w:r w:rsidRPr="006A5551">
        <w:rPr>
          <w:sz w:val="22"/>
        </w:rPr>
        <w:t>1972) и Индекс социоэкономического развития  (</w:t>
      </w:r>
      <w:r w:rsidRPr="006A5551">
        <w:rPr>
          <w:sz w:val="22"/>
          <w:lang w:val="en-US"/>
        </w:rPr>
        <w:t>SID</w:t>
      </w:r>
      <w:r w:rsidRPr="006A5551">
        <w:rPr>
          <w:sz w:val="22"/>
        </w:rPr>
        <w:t xml:space="preserve">, </w:t>
      </w:r>
      <w:r w:rsidRPr="006A5551">
        <w:rPr>
          <w:sz w:val="22"/>
          <w:lang w:val="en-US"/>
        </w:rPr>
        <w:t>UNRISD</w:t>
      </w:r>
      <w:r w:rsidRPr="006A5551">
        <w:rPr>
          <w:sz w:val="22"/>
        </w:rPr>
        <w:t xml:space="preserve"> 1970). Некоторые принципы построения </w:t>
      </w:r>
      <w:r w:rsidR="005D33F3">
        <w:rPr>
          <w:sz w:val="22"/>
          <w:lang w:val="en-US"/>
        </w:rPr>
        <w:t>SED</w:t>
      </w:r>
      <w:r w:rsidR="005D33F3">
        <w:rPr>
          <w:sz w:val="22"/>
        </w:rPr>
        <w:t>, как индекса, позволяющего агрегировать большое число показателей,</w:t>
      </w:r>
      <w:r w:rsidRPr="006A5551">
        <w:rPr>
          <w:sz w:val="22"/>
        </w:rPr>
        <w:t xml:space="preserve"> были использованы и для конструирования Регионального индекса </w:t>
      </w:r>
      <w:r>
        <w:rPr>
          <w:sz w:val="22"/>
        </w:rPr>
        <w:t xml:space="preserve">человеческого </w:t>
      </w:r>
      <w:r w:rsidRPr="006A5551">
        <w:rPr>
          <w:sz w:val="22"/>
        </w:rPr>
        <w:t>развития в настоящем Докладе.</w:t>
      </w:r>
      <w:r w:rsidR="00CD6A23">
        <w:rPr>
          <w:sz w:val="22"/>
        </w:rPr>
        <w:t xml:space="preserve"> </w:t>
      </w:r>
    </w:p>
    <w:p w:rsidR="006A5551" w:rsidRPr="006A5551" w:rsidRDefault="006A5551" w:rsidP="006A5551">
      <w:pPr>
        <w:autoSpaceDE w:val="0"/>
        <w:autoSpaceDN w:val="0"/>
        <w:adjustRightInd w:val="0"/>
        <w:spacing w:before="100" w:after="0" w:line="240" w:lineRule="auto"/>
        <w:jc w:val="both"/>
        <w:rPr>
          <w:sz w:val="22"/>
        </w:rPr>
      </w:pPr>
      <w:r w:rsidRPr="006A5551">
        <w:rPr>
          <w:sz w:val="22"/>
        </w:rPr>
        <w:t xml:space="preserve">Разработчики индексов обычно подчеркивают их способность более точно отражать рост благосостояния, </w:t>
      </w:r>
      <w:r w:rsidR="00CD6A23">
        <w:rPr>
          <w:sz w:val="22"/>
        </w:rPr>
        <w:t xml:space="preserve">отличное от </w:t>
      </w:r>
      <w:r w:rsidRPr="006A5551">
        <w:rPr>
          <w:sz w:val="22"/>
        </w:rPr>
        <w:t>просто материально</w:t>
      </w:r>
      <w:r w:rsidR="00CD6A23">
        <w:rPr>
          <w:sz w:val="22"/>
        </w:rPr>
        <w:t xml:space="preserve">го </w:t>
      </w:r>
      <w:r w:rsidRPr="006A5551">
        <w:rPr>
          <w:sz w:val="22"/>
        </w:rPr>
        <w:t>обогащени</w:t>
      </w:r>
      <w:r w:rsidR="00CD6A23">
        <w:rPr>
          <w:sz w:val="22"/>
        </w:rPr>
        <w:t>я,</w:t>
      </w:r>
      <w:r w:rsidRPr="006A5551">
        <w:rPr>
          <w:sz w:val="22"/>
        </w:rPr>
        <w:t xml:space="preserve"> и поэтому обычно комбинируют экономические и «неэкономические» показатели. В некоторых случаях индексы, как предполагается должны представлять собой альтернативу или конкурировать с традиционным, основанным на доходе, экономическим подходом к измерению благосостояния. </w:t>
      </w:r>
    </w:p>
    <w:p w:rsidR="006A5551" w:rsidRPr="006A5551" w:rsidRDefault="006A5551" w:rsidP="006A5551">
      <w:pPr>
        <w:spacing w:before="100" w:after="0" w:line="240" w:lineRule="auto"/>
        <w:rPr>
          <w:sz w:val="22"/>
        </w:rPr>
      </w:pPr>
      <w:r w:rsidRPr="006A5551">
        <w:rPr>
          <w:sz w:val="22"/>
        </w:rPr>
        <w:t>Какие компоненты не выбирались бы для индекса, общий его вид обычно определяется формулой:</w:t>
      </w:r>
    </w:p>
    <w:p w:rsidR="006A5551" w:rsidRPr="006A5551" w:rsidRDefault="006A5551" w:rsidP="006A5551">
      <w:pPr>
        <w:spacing w:before="100" w:after="0" w:line="240" w:lineRule="auto"/>
        <w:rPr>
          <w:sz w:val="22"/>
        </w:rPr>
      </w:pPr>
      <w:r w:rsidRPr="006A5551">
        <w:rPr>
          <w:position w:val="-30"/>
          <w:sz w:val="22"/>
        </w:rPr>
        <w:object w:dxaOrig="1380" w:dyaOrig="700">
          <v:shape id="_x0000_i1029" type="#_x0000_t75" style="width:69pt;height:35pt" o:ole="">
            <v:imagedata r:id="rId16" o:title=""/>
          </v:shape>
          <o:OLEObject Type="Embed" ProgID="Equation.DSMT4" ShapeID="_x0000_i1029" DrawAspect="Content" ObjectID="_1363103610" r:id="rId17"/>
        </w:object>
      </w:r>
    </w:p>
    <w:p w:rsidR="006A5551" w:rsidRPr="006A5551" w:rsidRDefault="006A5551" w:rsidP="006A5551">
      <w:pPr>
        <w:spacing w:before="100" w:after="0" w:line="240" w:lineRule="auto"/>
        <w:jc w:val="both"/>
        <w:rPr>
          <w:sz w:val="22"/>
        </w:rPr>
      </w:pPr>
      <w:r w:rsidRPr="006A5551">
        <w:rPr>
          <w:sz w:val="22"/>
        </w:rPr>
        <w:t xml:space="preserve">Где: </w:t>
      </w:r>
      <w:r w:rsidRPr="006A5551">
        <w:rPr>
          <w:sz w:val="22"/>
          <w:lang w:val="en-US"/>
        </w:rPr>
        <w:t>Di</w:t>
      </w:r>
      <w:r w:rsidRPr="006A5551">
        <w:rPr>
          <w:sz w:val="22"/>
        </w:rPr>
        <w:t xml:space="preserve"> – интегральная оценка развития (индекс) для </w:t>
      </w:r>
      <w:r w:rsidR="00CD6A23">
        <w:rPr>
          <w:sz w:val="22"/>
        </w:rPr>
        <w:t xml:space="preserve">страны или </w:t>
      </w:r>
      <w:r w:rsidRPr="006A5551">
        <w:rPr>
          <w:sz w:val="22"/>
        </w:rPr>
        <w:t xml:space="preserve">региона </w:t>
      </w:r>
      <w:r w:rsidRPr="006A5551">
        <w:rPr>
          <w:sz w:val="22"/>
          <w:lang w:val="en-US"/>
        </w:rPr>
        <w:t>i</w:t>
      </w:r>
      <w:r w:rsidRPr="006A5551">
        <w:rPr>
          <w:sz w:val="22"/>
        </w:rPr>
        <w:t xml:space="preserve">, </w:t>
      </w:r>
      <w:r w:rsidRPr="006A5551">
        <w:rPr>
          <w:sz w:val="22"/>
          <w:lang w:val="en-US"/>
        </w:rPr>
        <w:t>w</w:t>
      </w:r>
      <w:r w:rsidRPr="006A5551">
        <w:rPr>
          <w:sz w:val="22"/>
        </w:rPr>
        <w:t xml:space="preserve"> – вес (значение) компонента </w:t>
      </w:r>
      <w:r w:rsidRPr="006A5551">
        <w:rPr>
          <w:sz w:val="22"/>
          <w:lang w:val="en-US"/>
        </w:rPr>
        <w:t>X</w:t>
      </w:r>
      <w:r w:rsidRPr="006A5551">
        <w:rPr>
          <w:sz w:val="22"/>
        </w:rPr>
        <w:t xml:space="preserve"> (0&lt;</w:t>
      </w:r>
      <w:r w:rsidRPr="006A5551">
        <w:rPr>
          <w:sz w:val="22"/>
          <w:lang w:val="en-US"/>
        </w:rPr>
        <w:t>w</w:t>
      </w:r>
      <w:r w:rsidRPr="006A5551">
        <w:rPr>
          <w:sz w:val="22"/>
        </w:rPr>
        <w:t xml:space="preserve">&lt;1), </w:t>
      </w:r>
      <w:r w:rsidRPr="006A5551">
        <w:rPr>
          <w:position w:val="-14"/>
          <w:sz w:val="22"/>
        </w:rPr>
        <w:object w:dxaOrig="360" w:dyaOrig="380">
          <v:shape id="_x0000_i1030" type="#_x0000_t75" style="width:18.5pt;height:19pt" o:ole="">
            <v:imagedata r:id="rId18" o:title=""/>
          </v:shape>
          <o:OLEObject Type="Embed" ProgID="Equation.DSMT4" ShapeID="_x0000_i1030" DrawAspect="Content" ObjectID="_1363103611" r:id="rId19"/>
        </w:object>
      </w:r>
      <w:r w:rsidRPr="006A5551">
        <w:rPr>
          <w:sz w:val="22"/>
        </w:rPr>
        <w:t xml:space="preserve"> - </w:t>
      </w:r>
      <w:r w:rsidRPr="006A5551">
        <w:rPr>
          <w:sz w:val="22"/>
          <w:lang w:val="en-US"/>
        </w:rPr>
        <w:t>j</w:t>
      </w:r>
      <w:r w:rsidRPr="006A5551">
        <w:rPr>
          <w:sz w:val="22"/>
        </w:rPr>
        <w:t xml:space="preserve">-й компонент для </w:t>
      </w:r>
      <w:r w:rsidR="00CD6A23">
        <w:rPr>
          <w:sz w:val="22"/>
        </w:rPr>
        <w:t xml:space="preserve">страны или </w:t>
      </w:r>
      <w:r w:rsidRPr="006A5551">
        <w:rPr>
          <w:sz w:val="22"/>
        </w:rPr>
        <w:t xml:space="preserve">региона </w:t>
      </w:r>
      <w:r w:rsidRPr="006A5551">
        <w:rPr>
          <w:sz w:val="22"/>
          <w:lang w:val="en-US"/>
        </w:rPr>
        <w:t>i</w:t>
      </w:r>
      <w:r w:rsidRPr="006A5551">
        <w:rPr>
          <w:sz w:val="22"/>
        </w:rPr>
        <w:t xml:space="preserve">, n - число компонентов в индексе. Иными словами, сводный (композитный) индекс – это всегда средняя взвешенная из некоторого числа выбранных компонентов. </w:t>
      </w:r>
    </w:p>
    <w:p w:rsidR="006A5551" w:rsidRPr="006A5551" w:rsidRDefault="006A5551" w:rsidP="006A5551">
      <w:pPr>
        <w:spacing w:before="100" w:after="0" w:line="240" w:lineRule="auto"/>
        <w:jc w:val="both"/>
        <w:rPr>
          <w:sz w:val="22"/>
        </w:rPr>
      </w:pPr>
      <w:r w:rsidRPr="006A5551">
        <w:rPr>
          <w:b/>
          <w:sz w:val="22"/>
        </w:rPr>
        <w:t>Обоснование выбора компонентов</w:t>
      </w:r>
      <w:r w:rsidRPr="006A5551">
        <w:rPr>
          <w:sz w:val="22"/>
        </w:rPr>
        <w:t>. Настоящий доклад изучает вопросы человеческого развития на региональном (субнациональном) уровне. Соответственно, компоненты индекса должны быть выбраны таким образом, чтобы показать существующее неравенство между административно-территориальными образованиями страны в развитии человеческого потенциала. Важным является и такой фактор, как наличие статистических данных с ра</w:t>
      </w:r>
      <w:r>
        <w:rPr>
          <w:sz w:val="22"/>
        </w:rPr>
        <w:t>з</w:t>
      </w:r>
      <w:r w:rsidRPr="006A5551">
        <w:rPr>
          <w:sz w:val="22"/>
        </w:rPr>
        <w:t xml:space="preserve">бивкой по регионам, а также качество этих данных, то </w:t>
      </w:r>
      <w:r>
        <w:rPr>
          <w:sz w:val="22"/>
        </w:rPr>
        <w:t>е</w:t>
      </w:r>
      <w:r w:rsidRPr="006A5551">
        <w:rPr>
          <w:sz w:val="22"/>
        </w:rPr>
        <w:t xml:space="preserve">сть насколько </w:t>
      </w:r>
      <w:r>
        <w:rPr>
          <w:sz w:val="22"/>
        </w:rPr>
        <w:t xml:space="preserve">полно и достоверно </w:t>
      </w:r>
      <w:r w:rsidRPr="006A5551">
        <w:rPr>
          <w:sz w:val="22"/>
        </w:rPr>
        <w:t xml:space="preserve">то или иное явление регистрируется и находит свое отражение в статистическом учете. При выборе компонентов для регионального индекса человеческого развития авторы доклада следовали общим принципам концепции человеческого развития, но учитывали при этом, что не все показатели, используемые в расчетах ИЧР на национальном уровне, могут быть полезны для иллюстрации и анализа различий между регионами. </w:t>
      </w:r>
    </w:p>
    <w:p w:rsidR="006A5551" w:rsidRPr="006A5551" w:rsidRDefault="006A5551" w:rsidP="006A5551">
      <w:pPr>
        <w:spacing w:before="100" w:after="0" w:line="240" w:lineRule="auto"/>
        <w:jc w:val="both"/>
        <w:rPr>
          <w:sz w:val="22"/>
        </w:rPr>
      </w:pPr>
      <w:r w:rsidRPr="006A5551">
        <w:rPr>
          <w:sz w:val="22"/>
        </w:rPr>
        <w:t>В результате  был разработан сводный региональный индекс, включающий в себя 21 первичный показатель, 13 индикаторов, некоторые из которых состоят из одного, а некоторые рассчитываются на основе нескольких показателей, четырех частных индексов и двух субиндексов.</w:t>
      </w:r>
    </w:p>
    <w:p w:rsidR="006A5551" w:rsidRPr="006A5551" w:rsidRDefault="006A5551" w:rsidP="006A5551">
      <w:pPr>
        <w:spacing w:before="100" w:after="0" w:line="240" w:lineRule="auto"/>
        <w:jc w:val="both"/>
        <w:rPr>
          <w:sz w:val="22"/>
        </w:rPr>
      </w:pPr>
      <w:r w:rsidRPr="006A5551">
        <w:rPr>
          <w:sz w:val="22"/>
        </w:rPr>
        <w:lastRenderedPageBreak/>
        <w:t xml:space="preserve">Структура сводного индекса человеческого развития выглядит следующим образом: </w:t>
      </w:r>
    </w:p>
    <w:p w:rsidR="006A5551" w:rsidRPr="006A5551" w:rsidRDefault="006A5551" w:rsidP="006A5551">
      <w:pPr>
        <w:spacing w:before="100" w:after="0" w:line="240" w:lineRule="auto"/>
        <w:jc w:val="both"/>
        <w:rPr>
          <w:sz w:val="22"/>
        </w:rPr>
      </w:pPr>
      <w:r w:rsidRPr="006A5551">
        <w:rPr>
          <w:sz w:val="22"/>
        </w:rPr>
        <w:t xml:space="preserve">1. </w:t>
      </w:r>
      <w:r w:rsidRPr="006A5551">
        <w:rPr>
          <w:b/>
          <w:sz w:val="22"/>
        </w:rPr>
        <w:t>Экономический индекс человеческого развития</w:t>
      </w:r>
      <w:r w:rsidR="006C0F62">
        <w:rPr>
          <w:b/>
          <w:sz w:val="22"/>
        </w:rPr>
        <w:t xml:space="preserve"> (ЭИЧР)</w:t>
      </w:r>
      <w:r w:rsidRPr="006A5551">
        <w:rPr>
          <w:sz w:val="22"/>
        </w:rPr>
        <w:t>.</w:t>
      </w:r>
    </w:p>
    <w:p w:rsidR="006A5551" w:rsidRPr="006A5551" w:rsidRDefault="006A5551" w:rsidP="006A5551">
      <w:pPr>
        <w:spacing w:before="100" w:after="0" w:line="240" w:lineRule="auto"/>
        <w:jc w:val="both"/>
        <w:rPr>
          <w:sz w:val="22"/>
        </w:rPr>
      </w:pPr>
      <w:r w:rsidRPr="006A5551">
        <w:rPr>
          <w:b/>
          <w:i/>
          <w:sz w:val="22"/>
        </w:rPr>
        <w:t>Индикатор 1. Потребительские расходы населения</w:t>
      </w:r>
      <w:r w:rsidRPr="006A5551">
        <w:rPr>
          <w:sz w:val="22"/>
        </w:rPr>
        <w:t xml:space="preserve"> (сумма 1.1 и 1.2 в расчете на душу населения).</w:t>
      </w:r>
    </w:p>
    <w:p w:rsidR="006A5551" w:rsidRPr="006A5551" w:rsidRDefault="006A5551" w:rsidP="006A5551">
      <w:pPr>
        <w:spacing w:before="100" w:after="0" w:line="240" w:lineRule="auto"/>
        <w:jc w:val="both"/>
        <w:rPr>
          <w:sz w:val="22"/>
        </w:rPr>
      </w:pPr>
      <w:r w:rsidRPr="006A5551">
        <w:rPr>
          <w:sz w:val="22"/>
        </w:rPr>
        <w:t>1.1. Розничный товарооборот (млрд. сум.).</w:t>
      </w:r>
    </w:p>
    <w:p w:rsidR="006A5551" w:rsidRPr="006A5551" w:rsidRDefault="006A5551" w:rsidP="006A5551">
      <w:pPr>
        <w:spacing w:before="100" w:after="0" w:line="240" w:lineRule="auto"/>
        <w:jc w:val="both"/>
        <w:rPr>
          <w:sz w:val="22"/>
        </w:rPr>
      </w:pPr>
      <w:r w:rsidRPr="006A5551">
        <w:rPr>
          <w:sz w:val="22"/>
        </w:rPr>
        <w:t>1.2. Платные услуги (млрд. сум.).</w:t>
      </w:r>
    </w:p>
    <w:p w:rsidR="006A5551" w:rsidRPr="006A5551" w:rsidRDefault="006A5551" w:rsidP="006A5551">
      <w:pPr>
        <w:spacing w:before="100" w:after="0" w:line="240" w:lineRule="auto"/>
        <w:jc w:val="both"/>
        <w:rPr>
          <w:sz w:val="22"/>
        </w:rPr>
      </w:pPr>
      <w:r w:rsidRPr="006A5551">
        <w:rPr>
          <w:b/>
          <w:i/>
          <w:sz w:val="22"/>
        </w:rPr>
        <w:t xml:space="preserve">Индикатор 2. </w:t>
      </w:r>
      <w:r w:rsidR="006C0F62">
        <w:rPr>
          <w:b/>
          <w:i/>
          <w:sz w:val="22"/>
        </w:rPr>
        <w:t xml:space="preserve">Личные </w:t>
      </w:r>
      <w:r w:rsidRPr="006A5551">
        <w:rPr>
          <w:b/>
          <w:i/>
          <w:sz w:val="22"/>
        </w:rPr>
        <w:t>инвестиции на душу населения</w:t>
      </w:r>
      <w:r w:rsidRPr="006A5551">
        <w:rPr>
          <w:sz w:val="22"/>
        </w:rPr>
        <w:t xml:space="preserve"> (сумма </w:t>
      </w:r>
      <w:r w:rsidR="006C0F62">
        <w:rPr>
          <w:sz w:val="22"/>
        </w:rPr>
        <w:t>2</w:t>
      </w:r>
      <w:r w:rsidRPr="006A5551">
        <w:rPr>
          <w:sz w:val="22"/>
        </w:rPr>
        <w:t>.</w:t>
      </w:r>
      <w:r w:rsidR="006C0F62">
        <w:rPr>
          <w:sz w:val="22"/>
        </w:rPr>
        <w:t>1</w:t>
      </w:r>
      <w:r w:rsidRPr="006A5551">
        <w:rPr>
          <w:sz w:val="22"/>
        </w:rPr>
        <w:t xml:space="preserve"> и </w:t>
      </w:r>
      <w:r w:rsidR="006C0F62">
        <w:rPr>
          <w:sz w:val="22"/>
        </w:rPr>
        <w:t>2</w:t>
      </w:r>
      <w:r w:rsidRPr="006A5551">
        <w:rPr>
          <w:sz w:val="22"/>
        </w:rPr>
        <w:t>.</w:t>
      </w:r>
      <w:r w:rsidR="006C0F62">
        <w:rPr>
          <w:sz w:val="22"/>
        </w:rPr>
        <w:t>2</w:t>
      </w:r>
      <w:r>
        <w:rPr>
          <w:sz w:val="22"/>
        </w:rPr>
        <w:t xml:space="preserve"> </w:t>
      </w:r>
      <w:r w:rsidRPr="006A5551">
        <w:rPr>
          <w:sz w:val="22"/>
        </w:rPr>
        <w:t>в расчете на душу населения)</w:t>
      </w:r>
    </w:p>
    <w:p w:rsidR="006A5551" w:rsidRPr="006A5551" w:rsidRDefault="006C0F62" w:rsidP="006A5551">
      <w:pPr>
        <w:spacing w:before="100" w:after="0" w:line="240" w:lineRule="auto"/>
        <w:jc w:val="both"/>
        <w:rPr>
          <w:sz w:val="22"/>
        </w:rPr>
      </w:pPr>
      <w:r>
        <w:rPr>
          <w:sz w:val="22"/>
        </w:rPr>
        <w:t>2</w:t>
      </w:r>
      <w:r w:rsidR="006A5551" w:rsidRPr="006A5551">
        <w:rPr>
          <w:sz w:val="22"/>
        </w:rPr>
        <w:t>.</w:t>
      </w:r>
      <w:r>
        <w:rPr>
          <w:sz w:val="22"/>
        </w:rPr>
        <w:t>1.</w:t>
      </w:r>
      <w:r w:rsidR="006A5551" w:rsidRPr="006A5551">
        <w:rPr>
          <w:sz w:val="22"/>
        </w:rPr>
        <w:t xml:space="preserve"> Инвестиции в основной капитал за счет средств частной собственности граждан (</w:t>
      </w:r>
      <w:r w:rsidR="006A5551">
        <w:rPr>
          <w:sz w:val="22"/>
        </w:rPr>
        <w:t>млн.</w:t>
      </w:r>
      <w:r w:rsidR="006A5551" w:rsidRPr="006A5551">
        <w:rPr>
          <w:sz w:val="22"/>
        </w:rPr>
        <w:t xml:space="preserve"> сум.). </w:t>
      </w:r>
    </w:p>
    <w:p w:rsidR="006A5551" w:rsidRPr="006A5551" w:rsidRDefault="006C0F62" w:rsidP="006A5551">
      <w:pPr>
        <w:spacing w:before="100" w:after="0" w:line="240" w:lineRule="auto"/>
        <w:jc w:val="both"/>
        <w:rPr>
          <w:sz w:val="22"/>
        </w:rPr>
      </w:pPr>
      <w:r>
        <w:rPr>
          <w:sz w:val="22"/>
        </w:rPr>
        <w:t>2</w:t>
      </w:r>
      <w:r w:rsidR="006A5551" w:rsidRPr="006A5551">
        <w:rPr>
          <w:sz w:val="22"/>
        </w:rPr>
        <w:t>.</w:t>
      </w:r>
      <w:r>
        <w:rPr>
          <w:sz w:val="22"/>
        </w:rPr>
        <w:t>2</w:t>
      </w:r>
      <w:r w:rsidR="006A5551" w:rsidRPr="006A5551">
        <w:rPr>
          <w:sz w:val="22"/>
        </w:rPr>
        <w:t>. Инвестиции в жилищное строительство (</w:t>
      </w:r>
      <w:r w:rsidR="006A5551">
        <w:rPr>
          <w:sz w:val="22"/>
        </w:rPr>
        <w:t xml:space="preserve">млн. </w:t>
      </w:r>
      <w:r>
        <w:rPr>
          <w:sz w:val="22"/>
        </w:rPr>
        <w:t>сум.</w:t>
      </w:r>
      <w:r w:rsidR="006A5551" w:rsidRPr="006A5551">
        <w:rPr>
          <w:sz w:val="22"/>
        </w:rPr>
        <w:t>).</w:t>
      </w:r>
    </w:p>
    <w:p w:rsidR="006A5551" w:rsidRPr="006A5551" w:rsidRDefault="006A5551" w:rsidP="006A5551">
      <w:pPr>
        <w:spacing w:before="100" w:after="0" w:line="240" w:lineRule="auto"/>
        <w:jc w:val="both"/>
        <w:rPr>
          <w:sz w:val="22"/>
        </w:rPr>
      </w:pPr>
      <w:r w:rsidRPr="006C0F62">
        <w:rPr>
          <w:b/>
          <w:i/>
          <w:sz w:val="22"/>
        </w:rPr>
        <w:t>Индикатор 3. Вклады населения в коммерческих банках, на душу населения</w:t>
      </w:r>
      <w:r w:rsidRPr="006A5551">
        <w:rPr>
          <w:sz w:val="22"/>
        </w:rPr>
        <w:t xml:space="preserve"> (тыс.</w:t>
      </w:r>
      <w:r w:rsidR="006C0F62">
        <w:rPr>
          <w:sz w:val="22"/>
        </w:rPr>
        <w:t xml:space="preserve"> </w:t>
      </w:r>
      <w:r w:rsidRPr="006A5551">
        <w:rPr>
          <w:sz w:val="22"/>
        </w:rPr>
        <w:t xml:space="preserve">сум.). </w:t>
      </w:r>
    </w:p>
    <w:p w:rsidR="006A5551" w:rsidRPr="006A5551" w:rsidRDefault="00462870" w:rsidP="006A5551">
      <w:pPr>
        <w:spacing w:before="100" w:after="0" w:line="240" w:lineRule="auto"/>
        <w:jc w:val="both"/>
        <w:rPr>
          <w:sz w:val="22"/>
        </w:rPr>
      </w:pPr>
      <w:r>
        <w:rPr>
          <w:b/>
          <w:sz w:val="22"/>
        </w:rPr>
        <w:t xml:space="preserve">2. </w:t>
      </w:r>
      <w:r w:rsidR="006A5551" w:rsidRPr="006A5551">
        <w:rPr>
          <w:b/>
          <w:sz w:val="22"/>
        </w:rPr>
        <w:t>Социальный индекс человеческого развития</w:t>
      </w:r>
      <w:r>
        <w:rPr>
          <w:b/>
          <w:sz w:val="22"/>
        </w:rPr>
        <w:t xml:space="preserve"> (СИЧР)</w:t>
      </w:r>
      <w:r w:rsidR="006C0F62">
        <w:rPr>
          <w:b/>
          <w:sz w:val="22"/>
        </w:rPr>
        <w:t>.</w:t>
      </w:r>
    </w:p>
    <w:p w:rsidR="006A5551" w:rsidRPr="006C0F62" w:rsidRDefault="006A5551" w:rsidP="006A5551">
      <w:pPr>
        <w:spacing w:before="100" w:after="0" w:line="240" w:lineRule="auto"/>
        <w:jc w:val="both"/>
        <w:rPr>
          <w:b/>
          <w:sz w:val="22"/>
          <w:u w:val="single"/>
        </w:rPr>
      </w:pPr>
      <w:r w:rsidRPr="006C0F62">
        <w:rPr>
          <w:b/>
          <w:sz w:val="22"/>
          <w:u w:val="single"/>
        </w:rPr>
        <w:t>«Индекс здоровья».</w:t>
      </w:r>
    </w:p>
    <w:p w:rsidR="006A5551" w:rsidRPr="006C0F62" w:rsidRDefault="006A5551" w:rsidP="006A5551">
      <w:pPr>
        <w:spacing w:before="100" w:after="0" w:line="240" w:lineRule="auto"/>
        <w:jc w:val="both"/>
        <w:rPr>
          <w:b/>
          <w:i/>
          <w:sz w:val="22"/>
        </w:rPr>
      </w:pPr>
      <w:r w:rsidRPr="006C0F62">
        <w:rPr>
          <w:b/>
          <w:i/>
          <w:sz w:val="22"/>
        </w:rPr>
        <w:t xml:space="preserve">Индикатор 4. Ожидаемая продолжительность жизни при рождении </w:t>
      </w:r>
      <w:r w:rsidRPr="006C0F62">
        <w:rPr>
          <w:sz w:val="22"/>
        </w:rPr>
        <w:t>(с учетом гендерных различий, лет).</w:t>
      </w:r>
    </w:p>
    <w:p w:rsidR="006A5551" w:rsidRPr="006A5551" w:rsidRDefault="006A5551" w:rsidP="006A5551">
      <w:pPr>
        <w:spacing w:before="100" w:after="0" w:line="240" w:lineRule="auto"/>
        <w:jc w:val="both"/>
        <w:rPr>
          <w:sz w:val="22"/>
        </w:rPr>
      </w:pPr>
      <w:r w:rsidRPr="006C0F62">
        <w:rPr>
          <w:b/>
          <w:i/>
          <w:sz w:val="22"/>
        </w:rPr>
        <w:t>Индикатор 5. Заболеваемость населения отдельными болезнями на 100 тыс. населения</w:t>
      </w:r>
      <w:r w:rsidRPr="006A5551">
        <w:rPr>
          <w:sz w:val="22"/>
        </w:rPr>
        <w:t xml:space="preserve"> </w:t>
      </w:r>
      <w:r w:rsidR="006C0F62">
        <w:rPr>
          <w:sz w:val="22"/>
        </w:rPr>
        <w:t>(</w:t>
      </w:r>
      <w:r w:rsidRPr="006A5551">
        <w:rPr>
          <w:sz w:val="22"/>
        </w:rPr>
        <w:t>=(5.1+5.2+5.3)/3</w:t>
      </w:r>
      <w:r w:rsidR="006C0F62">
        <w:rPr>
          <w:sz w:val="22"/>
        </w:rPr>
        <w:t>).</w:t>
      </w:r>
    </w:p>
    <w:p w:rsidR="006A5551" w:rsidRPr="006A5551" w:rsidRDefault="006A5551" w:rsidP="006A5551">
      <w:pPr>
        <w:spacing w:before="100" w:after="0" w:line="240" w:lineRule="auto"/>
        <w:jc w:val="both"/>
        <w:rPr>
          <w:sz w:val="22"/>
        </w:rPr>
      </w:pPr>
      <w:r w:rsidRPr="006A5551">
        <w:rPr>
          <w:sz w:val="22"/>
        </w:rPr>
        <w:t>5.1. Вирусные гепатиты.</w:t>
      </w:r>
    </w:p>
    <w:p w:rsidR="006A5551" w:rsidRPr="006A5551" w:rsidRDefault="006A5551" w:rsidP="006A5551">
      <w:pPr>
        <w:spacing w:before="100" w:after="0" w:line="240" w:lineRule="auto"/>
        <w:jc w:val="both"/>
        <w:rPr>
          <w:sz w:val="22"/>
        </w:rPr>
      </w:pPr>
      <w:r w:rsidRPr="006A5551">
        <w:rPr>
          <w:sz w:val="22"/>
        </w:rPr>
        <w:t>5.2. Активный туберкулез (с диагнозом, установленным впервые).</w:t>
      </w:r>
    </w:p>
    <w:p w:rsidR="006A5551" w:rsidRPr="006A5551" w:rsidRDefault="006A5551" w:rsidP="006A5551">
      <w:pPr>
        <w:spacing w:before="100" w:after="0" w:line="240" w:lineRule="auto"/>
        <w:jc w:val="both"/>
        <w:rPr>
          <w:sz w:val="22"/>
        </w:rPr>
      </w:pPr>
      <w:r w:rsidRPr="006A5551">
        <w:rPr>
          <w:sz w:val="22"/>
        </w:rPr>
        <w:t>5.3. Бактериальная дизентерия.</w:t>
      </w:r>
    </w:p>
    <w:p w:rsidR="006A5551" w:rsidRPr="006C0F62" w:rsidRDefault="006A5551" w:rsidP="006A5551">
      <w:pPr>
        <w:spacing w:before="100" w:after="0" w:line="240" w:lineRule="auto"/>
        <w:jc w:val="both"/>
        <w:rPr>
          <w:b/>
          <w:sz w:val="22"/>
          <w:u w:val="single"/>
        </w:rPr>
      </w:pPr>
      <w:r w:rsidRPr="006C0F62">
        <w:rPr>
          <w:b/>
          <w:sz w:val="22"/>
          <w:u w:val="single"/>
        </w:rPr>
        <w:t>«Индекс образования»</w:t>
      </w:r>
      <w:r w:rsidR="006C0F62">
        <w:rPr>
          <w:b/>
          <w:sz w:val="22"/>
          <w:u w:val="single"/>
        </w:rPr>
        <w:t>.</w:t>
      </w:r>
    </w:p>
    <w:p w:rsidR="006A5551" w:rsidRPr="006C0F62" w:rsidRDefault="006A5551" w:rsidP="006A5551">
      <w:pPr>
        <w:spacing w:before="100" w:after="0" w:line="240" w:lineRule="auto"/>
        <w:jc w:val="both"/>
        <w:rPr>
          <w:b/>
          <w:i/>
          <w:sz w:val="22"/>
        </w:rPr>
      </w:pPr>
      <w:r w:rsidRPr="006C0F62">
        <w:rPr>
          <w:b/>
          <w:i/>
          <w:sz w:val="22"/>
        </w:rPr>
        <w:t>Индикатор 6. Доля населения старше 25 лет, имеющего высшее образование</w:t>
      </w:r>
      <w:r w:rsidR="00C1568F">
        <w:rPr>
          <w:b/>
          <w:i/>
          <w:sz w:val="22"/>
        </w:rPr>
        <w:t>, в %</w:t>
      </w:r>
      <w:r w:rsidRPr="006C0F62">
        <w:rPr>
          <w:b/>
          <w:i/>
          <w:sz w:val="22"/>
        </w:rPr>
        <w:t>.</w:t>
      </w:r>
    </w:p>
    <w:p w:rsidR="006A5551" w:rsidRPr="006A5551" w:rsidRDefault="006A5551" w:rsidP="006A5551">
      <w:pPr>
        <w:spacing w:before="100" w:after="0" w:line="240" w:lineRule="auto"/>
        <w:jc w:val="both"/>
        <w:rPr>
          <w:sz w:val="22"/>
        </w:rPr>
      </w:pPr>
      <w:r w:rsidRPr="006C0F62">
        <w:rPr>
          <w:b/>
          <w:i/>
          <w:sz w:val="22"/>
        </w:rPr>
        <w:t>Индикатор 7. Доля преподавателей, имеющих высшую квалификацию</w:t>
      </w:r>
      <w:r w:rsidRPr="006A5551">
        <w:rPr>
          <w:sz w:val="22"/>
        </w:rPr>
        <w:t xml:space="preserve"> </w:t>
      </w:r>
      <w:r w:rsidR="006C0F62">
        <w:rPr>
          <w:sz w:val="22"/>
        </w:rPr>
        <w:t>(=</w:t>
      </w:r>
      <w:r w:rsidRPr="006A5551">
        <w:rPr>
          <w:sz w:val="22"/>
        </w:rPr>
        <w:t>(7.1+7.2+7.3)/3</w:t>
      </w:r>
      <w:r w:rsidR="006C0F62">
        <w:rPr>
          <w:sz w:val="22"/>
        </w:rPr>
        <w:t>).</w:t>
      </w:r>
    </w:p>
    <w:p w:rsidR="006A5551" w:rsidRPr="006A5551" w:rsidRDefault="006A5551" w:rsidP="006A5551">
      <w:pPr>
        <w:spacing w:before="100" w:after="0" w:line="240" w:lineRule="auto"/>
        <w:jc w:val="both"/>
        <w:rPr>
          <w:sz w:val="22"/>
        </w:rPr>
      </w:pPr>
      <w:r w:rsidRPr="006A5551">
        <w:rPr>
          <w:sz w:val="22"/>
        </w:rPr>
        <w:t>7.1. Доля учителей общеобразовательных школ, имеющих высшее образование</w:t>
      </w:r>
      <w:r w:rsidR="00C1568F">
        <w:rPr>
          <w:sz w:val="22"/>
        </w:rPr>
        <w:t>, в %</w:t>
      </w:r>
      <w:r w:rsidRPr="006A5551">
        <w:rPr>
          <w:sz w:val="22"/>
        </w:rPr>
        <w:t>.</w:t>
      </w:r>
    </w:p>
    <w:p w:rsidR="006A5551" w:rsidRPr="006C0F62" w:rsidRDefault="006A5551" w:rsidP="006A5551">
      <w:pPr>
        <w:spacing w:before="100" w:after="0" w:line="240" w:lineRule="auto"/>
        <w:jc w:val="both"/>
        <w:rPr>
          <w:sz w:val="22"/>
        </w:rPr>
      </w:pPr>
      <w:r w:rsidRPr="006C0F62">
        <w:rPr>
          <w:sz w:val="22"/>
        </w:rPr>
        <w:t>7.2. Доля преподавателей средних специальных учебных заведений, имеющих высшее образование</w:t>
      </w:r>
      <w:r w:rsidR="00C1568F">
        <w:rPr>
          <w:sz w:val="22"/>
        </w:rPr>
        <w:t>, в %</w:t>
      </w:r>
      <w:r w:rsidRPr="006C0F62">
        <w:rPr>
          <w:sz w:val="22"/>
        </w:rPr>
        <w:t>.</w:t>
      </w:r>
    </w:p>
    <w:p w:rsidR="006A5551" w:rsidRPr="006C0F62" w:rsidRDefault="006A5551" w:rsidP="006A5551">
      <w:pPr>
        <w:spacing w:before="100" w:after="0" w:line="240" w:lineRule="auto"/>
        <w:jc w:val="both"/>
        <w:rPr>
          <w:sz w:val="22"/>
        </w:rPr>
      </w:pPr>
      <w:r w:rsidRPr="006C0F62">
        <w:rPr>
          <w:sz w:val="22"/>
        </w:rPr>
        <w:t>7,3. Доля профессорско-преподавательского состава ВУЗов, имеющего научные степени</w:t>
      </w:r>
      <w:r w:rsidR="00C1568F">
        <w:rPr>
          <w:sz w:val="22"/>
        </w:rPr>
        <w:t>, в %</w:t>
      </w:r>
      <w:r w:rsidRPr="006C0F62">
        <w:rPr>
          <w:sz w:val="22"/>
        </w:rPr>
        <w:t>.</w:t>
      </w:r>
    </w:p>
    <w:p w:rsidR="006A5551" w:rsidRPr="006A5551" w:rsidRDefault="006A5551" w:rsidP="006A5551">
      <w:pPr>
        <w:spacing w:before="100" w:after="0" w:line="240" w:lineRule="auto"/>
        <w:jc w:val="both"/>
        <w:rPr>
          <w:sz w:val="22"/>
        </w:rPr>
      </w:pPr>
      <w:r w:rsidRPr="006C0F62">
        <w:rPr>
          <w:b/>
          <w:i/>
          <w:sz w:val="22"/>
        </w:rPr>
        <w:t xml:space="preserve">Индикатор 8. Охват детей в возрасте 1-6 лет дошкольными учреждениями, </w:t>
      </w:r>
      <w:r w:rsidR="00C1568F">
        <w:rPr>
          <w:b/>
          <w:i/>
          <w:sz w:val="22"/>
        </w:rPr>
        <w:t xml:space="preserve">в </w:t>
      </w:r>
      <w:r w:rsidRPr="006C0F62">
        <w:rPr>
          <w:b/>
          <w:i/>
          <w:sz w:val="22"/>
        </w:rPr>
        <w:t>%</w:t>
      </w:r>
      <w:r w:rsidRPr="006A5551">
        <w:rPr>
          <w:sz w:val="22"/>
        </w:rPr>
        <w:t>.</w:t>
      </w:r>
    </w:p>
    <w:p w:rsidR="006A5551" w:rsidRPr="006C0F62" w:rsidRDefault="006A5551" w:rsidP="006A5551">
      <w:pPr>
        <w:spacing w:before="100" w:after="0" w:line="240" w:lineRule="auto"/>
        <w:jc w:val="both"/>
        <w:rPr>
          <w:b/>
          <w:sz w:val="22"/>
          <w:u w:val="single"/>
        </w:rPr>
      </w:pPr>
      <w:r w:rsidRPr="006C0F62">
        <w:rPr>
          <w:b/>
          <w:sz w:val="22"/>
          <w:u w:val="single"/>
        </w:rPr>
        <w:t>«Индекс социальных болезней».</w:t>
      </w:r>
    </w:p>
    <w:p w:rsidR="006A5551" w:rsidRPr="006A5551" w:rsidRDefault="006A5551" w:rsidP="006A5551">
      <w:pPr>
        <w:spacing w:before="100" w:after="0" w:line="240" w:lineRule="auto"/>
        <w:jc w:val="both"/>
        <w:rPr>
          <w:b/>
          <w:i/>
          <w:sz w:val="22"/>
        </w:rPr>
      </w:pPr>
      <w:r w:rsidRPr="006A5551">
        <w:rPr>
          <w:b/>
          <w:i/>
          <w:sz w:val="22"/>
        </w:rPr>
        <w:t>Индикатор 9. Доля населения, находящегося ниже крайней черты бедности</w:t>
      </w:r>
      <w:r w:rsidR="00C1568F">
        <w:rPr>
          <w:b/>
          <w:i/>
          <w:sz w:val="22"/>
        </w:rPr>
        <w:t>, в %</w:t>
      </w:r>
      <w:r w:rsidRPr="006A5551">
        <w:rPr>
          <w:b/>
          <w:i/>
          <w:sz w:val="22"/>
        </w:rPr>
        <w:t>.</w:t>
      </w:r>
    </w:p>
    <w:p w:rsidR="006A5551" w:rsidRPr="006A5551" w:rsidRDefault="006A5551" w:rsidP="006A5551">
      <w:pPr>
        <w:spacing w:before="100" w:after="0" w:line="240" w:lineRule="auto"/>
        <w:jc w:val="both"/>
        <w:rPr>
          <w:sz w:val="22"/>
        </w:rPr>
      </w:pPr>
      <w:r w:rsidRPr="006C0F62">
        <w:rPr>
          <w:b/>
          <w:i/>
          <w:sz w:val="22"/>
        </w:rPr>
        <w:t>Индикатор 10. Число зарегистрированных преступлений</w:t>
      </w:r>
      <w:r w:rsidRPr="006A5551">
        <w:rPr>
          <w:sz w:val="22"/>
        </w:rPr>
        <w:t xml:space="preserve"> (на 1000 чел. населения).</w:t>
      </w:r>
    </w:p>
    <w:p w:rsidR="006A5551" w:rsidRPr="006A5551" w:rsidRDefault="006A5551" w:rsidP="006A5551">
      <w:pPr>
        <w:spacing w:before="100" w:after="0" w:line="240" w:lineRule="auto"/>
        <w:jc w:val="both"/>
        <w:rPr>
          <w:sz w:val="22"/>
        </w:rPr>
      </w:pPr>
      <w:r w:rsidRPr="006C0F62">
        <w:rPr>
          <w:b/>
          <w:i/>
          <w:sz w:val="22"/>
        </w:rPr>
        <w:t>Индикатор 11. Заболеваемость наркологическими расстройствами, включая алкоголизм</w:t>
      </w:r>
      <w:r w:rsidRPr="006A5551">
        <w:rPr>
          <w:sz w:val="22"/>
        </w:rPr>
        <w:t xml:space="preserve"> (на 100 тыс. населения).</w:t>
      </w:r>
    </w:p>
    <w:p w:rsidR="006A5551" w:rsidRPr="006A5551" w:rsidRDefault="006A5551" w:rsidP="006A5551">
      <w:pPr>
        <w:spacing w:before="100" w:after="0" w:line="240" w:lineRule="auto"/>
        <w:jc w:val="both"/>
        <w:rPr>
          <w:sz w:val="22"/>
        </w:rPr>
      </w:pPr>
      <w:r w:rsidRPr="006C0F62">
        <w:rPr>
          <w:b/>
          <w:i/>
          <w:sz w:val="22"/>
        </w:rPr>
        <w:t>Индикатор 12. Число лиц, пострадавших от травм и отравлений</w:t>
      </w:r>
      <w:r w:rsidRPr="006A5551">
        <w:rPr>
          <w:sz w:val="22"/>
        </w:rPr>
        <w:t xml:space="preserve"> (на 100 тыс. населения).</w:t>
      </w:r>
    </w:p>
    <w:p w:rsidR="006A5551" w:rsidRPr="006C0F62" w:rsidRDefault="006A5551" w:rsidP="006A5551">
      <w:pPr>
        <w:spacing w:before="100" w:after="0" w:line="240" w:lineRule="auto"/>
        <w:jc w:val="both"/>
        <w:rPr>
          <w:b/>
          <w:sz w:val="22"/>
          <w:u w:val="single"/>
        </w:rPr>
      </w:pPr>
      <w:r w:rsidRPr="006C0F62">
        <w:rPr>
          <w:b/>
          <w:sz w:val="22"/>
          <w:u w:val="single"/>
        </w:rPr>
        <w:t>«Индекс гендерного равенства».</w:t>
      </w:r>
    </w:p>
    <w:p w:rsidR="006A5551" w:rsidRPr="006A5551" w:rsidRDefault="006A5551" w:rsidP="006A5551">
      <w:pPr>
        <w:spacing w:before="100" w:after="0" w:line="240" w:lineRule="auto"/>
        <w:jc w:val="both"/>
        <w:rPr>
          <w:b/>
          <w:i/>
          <w:sz w:val="22"/>
        </w:rPr>
      </w:pPr>
      <w:r w:rsidRPr="006A5551">
        <w:rPr>
          <w:b/>
          <w:i/>
          <w:sz w:val="22"/>
        </w:rPr>
        <w:t xml:space="preserve">Индикатор 13. Удельный вес женщин в численности рабочих и служащих, </w:t>
      </w:r>
      <w:r w:rsidR="00C1568F">
        <w:rPr>
          <w:b/>
          <w:i/>
          <w:sz w:val="22"/>
        </w:rPr>
        <w:t xml:space="preserve">в </w:t>
      </w:r>
      <w:r w:rsidRPr="006A5551">
        <w:rPr>
          <w:b/>
          <w:i/>
          <w:sz w:val="22"/>
        </w:rPr>
        <w:t>%.</w:t>
      </w:r>
    </w:p>
    <w:p w:rsidR="006A5551" w:rsidRPr="006A5551" w:rsidRDefault="006A5551" w:rsidP="006A5551">
      <w:pPr>
        <w:spacing w:before="100" w:after="0" w:line="240" w:lineRule="auto"/>
        <w:jc w:val="both"/>
        <w:rPr>
          <w:sz w:val="22"/>
        </w:rPr>
      </w:pPr>
      <w:r w:rsidRPr="00462870">
        <w:rPr>
          <w:b/>
          <w:sz w:val="22"/>
        </w:rPr>
        <w:t>Сопоставимость и стандартизация показателей</w:t>
      </w:r>
      <w:r w:rsidRPr="006A5551">
        <w:rPr>
          <w:sz w:val="22"/>
        </w:rPr>
        <w:t>. В состав индекса входят разные показатели из совершенно различных сфер экономической и социальной жизни. Каждый из них имеет свои единицы измерения и какие-либо математические операции с ними в исходном ви</w:t>
      </w:r>
      <w:r w:rsidR="00462870">
        <w:rPr>
          <w:sz w:val="22"/>
        </w:rPr>
        <w:t>д</w:t>
      </w:r>
      <w:r w:rsidRPr="006A5551">
        <w:rPr>
          <w:sz w:val="22"/>
        </w:rPr>
        <w:t xml:space="preserve">е лишены смысла. Как пишут в </w:t>
      </w:r>
      <w:r w:rsidR="00B078E0">
        <w:rPr>
          <w:sz w:val="22"/>
        </w:rPr>
        <w:t xml:space="preserve">учебниках по основам </w:t>
      </w:r>
      <w:r w:rsidRPr="006A5551">
        <w:rPr>
          <w:sz w:val="22"/>
        </w:rPr>
        <w:t xml:space="preserve">экономической теории </w:t>
      </w:r>
      <w:r w:rsidR="00462870">
        <w:rPr>
          <w:sz w:val="22"/>
        </w:rPr>
        <w:t>«</w:t>
      </w:r>
      <w:r w:rsidRPr="006A5551">
        <w:rPr>
          <w:sz w:val="22"/>
        </w:rPr>
        <w:t xml:space="preserve">нельзя складывать яблоки с апельсинами». Для приведения показателей к сопоставимому виду (стандартизации) используется тот же метод, что и при расчетах ИЧР. Для стандартизации позитивных показателей (большее значение показателя означает лучший результат), использовалась формула: </w:t>
      </w:r>
      <w:r w:rsidRPr="006A5551">
        <w:rPr>
          <w:position w:val="-36"/>
          <w:sz w:val="22"/>
        </w:rPr>
        <w:object w:dxaOrig="2020" w:dyaOrig="820">
          <v:shape id="_x0000_i1031" type="#_x0000_t75" style="width:101pt;height:41pt" o:ole="" fillcolor="window">
            <v:imagedata r:id="rId20" o:title=""/>
          </v:shape>
          <o:OLEObject Type="Embed" ProgID="Equation.3" ShapeID="_x0000_i1031" DrawAspect="Content" ObjectID="_1363103612" r:id="rId21"/>
        </w:object>
      </w:r>
      <w:r w:rsidRPr="006A5551">
        <w:rPr>
          <w:sz w:val="22"/>
        </w:rPr>
        <w:t xml:space="preserve">, </w:t>
      </w:r>
      <w:r w:rsidRPr="006A5551">
        <w:rPr>
          <w:sz w:val="22"/>
        </w:rPr>
        <w:lastRenderedPageBreak/>
        <w:t xml:space="preserve">где </w:t>
      </w:r>
      <w:r w:rsidRPr="006A5551">
        <w:rPr>
          <w:position w:val="-20"/>
          <w:sz w:val="22"/>
        </w:rPr>
        <w:object w:dxaOrig="380" w:dyaOrig="480">
          <v:shape id="_x0000_i1032" type="#_x0000_t75" style="width:19pt;height:23.5pt" o:ole="">
            <v:imagedata r:id="rId22" o:title=""/>
          </v:shape>
          <o:OLEObject Type="Embed" ProgID="Equation.DSMT4" ShapeID="_x0000_i1032" DrawAspect="Content" ObjectID="_1363103613" r:id="rId23"/>
        </w:object>
      </w:r>
      <w:r w:rsidRPr="006A5551">
        <w:rPr>
          <w:sz w:val="22"/>
        </w:rPr>
        <w:t xml:space="preserve">- стандартизированное значение показателя j для региона </w:t>
      </w:r>
      <w:r w:rsidRPr="006A5551">
        <w:rPr>
          <w:sz w:val="22"/>
          <w:lang w:val="en-US"/>
        </w:rPr>
        <w:t>i</w:t>
      </w:r>
      <w:r w:rsidRPr="006A5551">
        <w:rPr>
          <w:sz w:val="22"/>
        </w:rPr>
        <w:t xml:space="preserve">; </w:t>
      </w:r>
      <w:r w:rsidRPr="006A5551">
        <w:rPr>
          <w:position w:val="-16"/>
          <w:sz w:val="22"/>
        </w:rPr>
        <w:object w:dxaOrig="420" w:dyaOrig="400">
          <v:shape id="_x0000_i1033" type="#_x0000_t75" style="width:21pt;height:20.5pt" o:ole="">
            <v:imagedata r:id="rId24" o:title=""/>
          </v:shape>
          <o:OLEObject Type="Embed" ProgID="Equation.DSMT4" ShapeID="_x0000_i1033" DrawAspect="Content" ObjectID="_1363103614" r:id="rId25"/>
        </w:object>
      </w:r>
      <w:r w:rsidRPr="006A5551">
        <w:rPr>
          <w:sz w:val="22"/>
        </w:rPr>
        <w:t xml:space="preserve">- фактическое значение показателя </w:t>
      </w:r>
      <w:r w:rsidRPr="006A5551">
        <w:rPr>
          <w:sz w:val="22"/>
          <w:lang w:val="en-US"/>
        </w:rPr>
        <w:t>j</w:t>
      </w:r>
      <w:r w:rsidRPr="006A5551">
        <w:rPr>
          <w:sz w:val="22"/>
        </w:rPr>
        <w:t xml:space="preserve"> для региона </w:t>
      </w:r>
      <w:r w:rsidRPr="006A5551">
        <w:rPr>
          <w:sz w:val="22"/>
          <w:lang w:val="en-US"/>
        </w:rPr>
        <w:t>i</w:t>
      </w:r>
      <w:r w:rsidRPr="006A5551">
        <w:rPr>
          <w:sz w:val="22"/>
        </w:rPr>
        <w:t xml:space="preserve">;. </w:t>
      </w:r>
      <w:r w:rsidRPr="006A5551">
        <w:rPr>
          <w:position w:val="-16"/>
          <w:sz w:val="22"/>
        </w:rPr>
        <w:object w:dxaOrig="639" w:dyaOrig="400">
          <v:shape id="_x0000_i1034" type="#_x0000_t75" style="width:32pt;height:20.5pt" o:ole="">
            <v:imagedata r:id="rId26" o:title=""/>
          </v:shape>
          <o:OLEObject Type="Embed" ProgID="Equation.DSMT4" ShapeID="_x0000_i1034" DrawAspect="Content" ObjectID="_1363103615" r:id="rId27"/>
        </w:object>
      </w:r>
      <w:r w:rsidRPr="006A5551">
        <w:rPr>
          <w:sz w:val="22"/>
        </w:rPr>
        <w:t xml:space="preserve"> - минимально приемлемое значение показателя, ниже которого его значение не должно опускаться («нижняя планка»);</w:t>
      </w:r>
      <w:r w:rsidRPr="006A5551">
        <w:rPr>
          <w:position w:val="-16"/>
          <w:sz w:val="22"/>
        </w:rPr>
        <w:object w:dxaOrig="660" w:dyaOrig="400">
          <v:shape id="_x0000_i1035" type="#_x0000_t75" style="width:33.5pt;height:20.5pt" o:ole="">
            <v:imagedata r:id="rId28" o:title=""/>
          </v:shape>
          <o:OLEObject Type="Embed" ProgID="Equation.DSMT4" ShapeID="_x0000_i1035" DrawAspect="Content" ObjectID="_1363103616" r:id="rId29"/>
        </w:object>
      </w:r>
      <w:r w:rsidRPr="006A5551">
        <w:rPr>
          <w:sz w:val="22"/>
        </w:rPr>
        <w:t>- максимальное значение показателя, к достижению которого следует стремит</w:t>
      </w:r>
      <w:r w:rsidR="00462870">
        <w:rPr>
          <w:sz w:val="22"/>
        </w:rPr>
        <w:t>ь</w:t>
      </w:r>
      <w:r w:rsidRPr="006A5551">
        <w:rPr>
          <w:sz w:val="22"/>
        </w:rPr>
        <w:t>ся.</w:t>
      </w:r>
    </w:p>
    <w:p w:rsidR="006A5551" w:rsidRPr="006A5551" w:rsidRDefault="006A5551" w:rsidP="00462870">
      <w:pPr>
        <w:spacing w:before="100" w:after="0" w:line="240" w:lineRule="auto"/>
        <w:jc w:val="both"/>
        <w:rPr>
          <w:sz w:val="22"/>
        </w:rPr>
      </w:pPr>
      <w:r w:rsidRPr="006A5551">
        <w:rPr>
          <w:sz w:val="22"/>
        </w:rPr>
        <w:t xml:space="preserve">Наряду с позитивными показателями в состав индекса входят и негативные, т.е. такие меньшее значение которых означает лучший результат: заболеваемость инфекционными болезнями, численность населения, находящегося за чертой крайней бедности и другие. Для таких показателей формула видоизменяется и принимает вид: </w:t>
      </w:r>
      <w:r w:rsidRPr="006A5551">
        <w:rPr>
          <w:position w:val="-72"/>
          <w:sz w:val="22"/>
        </w:rPr>
        <w:object w:dxaOrig="2060" w:dyaOrig="1180">
          <v:shape id="_x0000_i1036" type="#_x0000_t75" style="width:103pt;height:59.5pt" o:ole="">
            <v:imagedata r:id="rId30" o:title=""/>
          </v:shape>
          <o:OLEObject Type="Embed" ProgID="Equation.DSMT4" ShapeID="_x0000_i1036" DrawAspect="Content" ObjectID="_1363103617" r:id="rId31"/>
        </w:object>
      </w:r>
      <w:r w:rsidRPr="006A5551">
        <w:rPr>
          <w:sz w:val="22"/>
        </w:rPr>
        <w:t>.</w:t>
      </w:r>
    </w:p>
    <w:p w:rsidR="006A5551" w:rsidRPr="006A5551" w:rsidRDefault="006A5551" w:rsidP="00462870">
      <w:pPr>
        <w:spacing w:before="100" w:after="0" w:line="240" w:lineRule="auto"/>
        <w:jc w:val="both"/>
        <w:rPr>
          <w:sz w:val="22"/>
        </w:rPr>
      </w:pPr>
      <w:r w:rsidRPr="006A5551">
        <w:rPr>
          <w:sz w:val="22"/>
        </w:rPr>
        <w:t xml:space="preserve">Все обозначения остаются теми же самыми, но максимальное и минимальное значение изменяют свой смысл. </w:t>
      </w:r>
      <w:r w:rsidRPr="006A5551">
        <w:rPr>
          <w:position w:val="-16"/>
          <w:sz w:val="22"/>
        </w:rPr>
        <w:object w:dxaOrig="660" w:dyaOrig="400">
          <v:shape id="_x0000_i1037" type="#_x0000_t75" style="width:33.5pt;height:20.5pt" o:ole="">
            <v:imagedata r:id="rId28" o:title=""/>
          </v:shape>
          <o:OLEObject Type="Embed" ProgID="Equation.DSMT4" ShapeID="_x0000_i1037" DrawAspect="Content" ObjectID="_1363103618" r:id="rId32"/>
        </w:object>
      </w:r>
      <w:r w:rsidRPr="006A5551">
        <w:rPr>
          <w:sz w:val="22"/>
        </w:rPr>
        <w:t xml:space="preserve">- в этом контексте становится максимально допустимым значением, выше которого уровень показателя подниматься не должен, </w:t>
      </w:r>
      <w:r w:rsidRPr="006A5551">
        <w:rPr>
          <w:position w:val="-16"/>
          <w:sz w:val="22"/>
        </w:rPr>
        <w:object w:dxaOrig="639" w:dyaOrig="400">
          <v:shape id="_x0000_i1038" type="#_x0000_t75" style="width:32pt;height:20.5pt" o:ole="">
            <v:imagedata r:id="rId26" o:title=""/>
          </v:shape>
          <o:OLEObject Type="Embed" ProgID="Equation.DSMT4" ShapeID="_x0000_i1038" DrawAspect="Content" ObjectID="_1363103619" r:id="rId33"/>
        </w:object>
      </w:r>
      <w:r w:rsidRPr="006A5551">
        <w:rPr>
          <w:sz w:val="22"/>
        </w:rPr>
        <w:t xml:space="preserve"> - желаемый минимум к достижению которого следует стремиться. </w:t>
      </w:r>
    </w:p>
    <w:p w:rsidR="009C2421" w:rsidRPr="006A5551" w:rsidRDefault="006A5551" w:rsidP="009C2421">
      <w:pPr>
        <w:spacing w:before="100" w:after="0" w:line="240" w:lineRule="auto"/>
        <w:jc w:val="both"/>
        <w:rPr>
          <w:sz w:val="22"/>
        </w:rPr>
      </w:pPr>
      <w:r w:rsidRPr="006A5551">
        <w:rPr>
          <w:sz w:val="22"/>
        </w:rPr>
        <w:t xml:space="preserve">При таком подходе к стандартизации возникают вопросы о природе и возможных значениях устанавливаемых максимумов и минимумов. При использовании структуры индекса, как среднего арифметического взвешенного его компонентов, кроме целевых ориентиров, максимальные и минимальные значения показателей играют также роль весов этих компонентов, что следует учитывать при выборе этих значений. </w:t>
      </w:r>
      <w:r w:rsidR="009C2421">
        <w:rPr>
          <w:sz w:val="22"/>
        </w:rPr>
        <w:t>Если максимум и минимум для одного индикатора установлены таким образом, что для большинства регионов его значения группируются вокруг 0,4, а для другого так, что большинство регионов имеют значения, близкие к 0,8, то при расчете интегрального индекса как невзвешенной средней, второй индикатор фактически получит в два раза больший вес, чем первый. Тогда не будет понятно, насколько значения сводного индекса связаны с достижениями регионов, а насколько с особенностями установления максимумов и минимумов. Мы постарались избежать влияния на индекс особенностей установления границ для каждого показателя. Поэтому</w:t>
      </w:r>
      <w:r w:rsidR="009C2421" w:rsidRPr="006A5551">
        <w:rPr>
          <w:sz w:val="22"/>
        </w:rPr>
        <w:t xml:space="preserve"> </w:t>
      </w:r>
      <w:r w:rsidR="009C2421" w:rsidRPr="009C2421">
        <w:rPr>
          <w:sz w:val="22"/>
        </w:rPr>
        <w:t>по возможности максимальные и минимальные значения не использовались в качестве «имплицитных весов», а если возникала в этом потребность, то веса вводились явно.</w:t>
      </w:r>
    </w:p>
    <w:p w:rsidR="00B078E0" w:rsidRDefault="006A5551" w:rsidP="0017508B">
      <w:pPr>
        <w:spacing w:before="100" w:after="0" w:line="240" w:lineRule="auto"/>
        <w:jc w:val="both"/>
        <w:rPr>
          <w:sz w:val="22"/>
        </w:rPr>
      </w:pPr>
      <w:r w:rsidRPr="000A792E">
        <w:rPr>
          <w:b/>
          <w:i/>
          <w:sz w:val="22"/>
        </w:rPr>
        <w:t>Экономический индекс человеческого развития</w:t>
      </w:r>
      <w:r w:rsidR="000A792E">
        <w:rPr>
          <w:sz w:val="22"/>
        </w:rPr>
        <w:t xml:space="preserve"> (ЭИЧР)</w:t>
      </w:r>
      <w:r w:rsidRPr="006A5551">
        <w:rPr>
          <w:sz w:val="22"/>
        </w:rPr>
        <w:t xml:space="preserve"> является оценкой уровня располагаемых доходов населения. </w:t>
      </w:r>
      <w:r w:rsidR="0017508B" w:rsidRPr="0017508B">
        <w:rPr>
          <w:sz w:val="22"/>
        </w:rPr>
        <w:t>Хотя для этой цели еще очень часто используется валовой внутренний продукт (ВВП) на душу населения</w:t>
      </w:r>
      <w:r w:rsidR="0017508B" w:rsidRPr="0017508B">
        <w:rPr>
          <w:rStyle w:val="a9"/>
          <w:sz w:val="22"/>
        </w:rPr>
        <w:footnoteReference w:id="2"/>
      </w:r>
      <w:r w:rsidR="0017508B" w:rsidRPr="0017508B">
        <w:rPr>
          <w:sz w:val="22"/>
        </w:rPr>
        <w:t xml:space="preserve">, рассчитанный по паритету покупательской способности (ППС), но среди специалистов уже практически общепризнано, что ВВП не является хорошим индикатором доходов. Тем более это касается межрегиональных сопоставлений внутри одной страны. </w:t>
      </w:r>
    </w:p>
    <w:p w:rsidR="0017508B" w:rsidRPr="0017508B" w:rsidRDefault="00B078E0" w:rsidP="0017508B">
      <w:pPr>
        <w:spacing w:before="100" w:after="0" w:line="240" w:lineRule="auto"/>
        <w:jc w:val="both"/>
        <w:rPr>
          <w:sz w:val="22"/>
        </w:rPr>
      </w:pPr>
      <w:r>
        <w:rPr>
          <w:sz w:val="22"/>
        </w:rPr>
        <w:t>В основе такого подхода лежит следующая аргументация</w:t>
      </w:r>
      <w:r w:rsidR="0017508B" w:rsidRPr="0017508B">
        <w:rPr>
          <w:sz w:val="22"/>
        </w:rPr>
        <w:t>.</w:t>
      </w:r>
      <w:r>
        <w:rPr>
          <w:sz w:val="22"/>
        </w:rPr>
        <w:t xml:space="preserve"> </w:t>
      </w:r>
      <w:r w:rsidR="0017508B" w:rsidRPr="0017508B">
        <w:rPr>
          <w:sz w:val="22"/>
        </w:rPr>
        <w:t xml:space="preserve">Во-первых, искажения вносит маятниковая миграция. Доходы могут зарабатываться в одном регионе, а расходоваться в другом. Во-вторых, произведенные товары и особенно такой компонент ВВП как «чистый экспорт» часто регистрируются по месту, где компания находится в соответствии с юридическим адресом, а не в том регионе, где они были произведены или откуда экспортированы фактически. В-третьих, если в структуре производства велика доля сырьевой составляющей, то значительная часть произведенного ВВП будет приходиться на те регионы, где находятся источники сырья, но это не значит, что население этих территорий будет иметь высокие доходы, так как доходы от сырьевых производств, как правило, перераспределяются между регионами. </w:t>
      </w:r>
    </w:p>
    <w:p w:rsidR="00CD6A23" w:rsidRPr="0017508B" w:rsidRDefault="00CD6A23" w:rsidP="00CD6A23">
      <w:pPr>
        <w:spacing w:before="100" w:after="0" w:line="240" w:lineRule="auto"/>
        <w:jc w:val="both"/>
        <w:rPr>
          <w:sz w:val="22"/>
          <w:lang w:eastAsia="ru-RU"/>
        </w:rPr>
      </w:pPr>
      <w:r w:rsidRPr="0017508B">
        <w:rPr>
          <w:sz w:val="22"/>
        </w:rPr>
        <w:t xml:space="preserve">Наличие существенных расхождений между уровнем ВРП и потребительских расходов, рассчитанных на душу населения, в Узбекистане хорошо иллюстрирует </w:t>
      </w:r>
      <w:r w:rsidRPr="0017508B">
        <w:rPr>
          <w:sz w:val="22"/>
          <w:highlight w:val="yellow"/>
        </w:rPr>
        <w:t>Рисунок 1</w:t>
      </w:r>
      <w:r w:rsidRPr="0017508B">
        <w:rPr>
          <w:sz w:val="22"/>
        </w:rPr>
        <w:t xml:space="preserve">. Особенно велик разрыв между этими показателями в регионах, где развита добывающая промышленность: Навойской и Кашкадарьинской областях (добыча цветных металлов и природного газа). В этих регионах на потребительские расходы направляется менее 30% ВРП, что существенно меньше </w:t>
      </w:r>
      <w:r w:rsidRPr="0017508B">
        <w:rPr>
          <w:sz w:val="22"/>
        </w:rPr>
        <w:lastRenderedPageBreak/>
        <w:t>нежели в большинстве других регионов. Именно из-за наличия таких разрывов в «Докладах о развитии человека» некоторых стран, например, Индонезии, доход на душу населения измеряется не через валовой региональный продукт (ВРП), а через расходы на приобретение товаров и услуг на душу населения, поскольку ВРП региона не отражает покупательной способности населения</w:t>
      </w:r>
      <w:r w:rsidRPr="0017508B">
        <w:rPr>
          <w:rStyle w:val="a9"/>
          <w:sz w:val="22"/>
        </w:rPr>
        <w:footnoteReference w:id="3"/>
      </w:r>
      <w:r w:rsidRPr="0017508B">
        <w:rPr>
          <w:sz w:val="22"/>
        </w:rPr>
        <w:t xml:space="preserve">. </w:t>
      </w:r>
    </w:p>
    <w:p w:rsidR="00CD6A23" w:rsidRDefault="00CD6A23" w:rsidP="00CD6A23">
      <w:pPr>
        <w:spacing w:before="100" w:after="0" w:line="240" w:lineRule="auto"/>
        <w:jc w:val="both"/>
        <w:rPr>
          <w:sz w:val="22"/>
        </w:rPr>
      </w:pPr>
      <w:r w:rsidRPr="0017508B">
        <w:rPr>
          <w:sz w:val="22"/>
        </w:rPr>
        <w:t>В данном докладе уровень располагаемых дохо</w:t>
      </w:r>
      <w:r w:rsidRPr="00BF3F5F">
        <w:rPr>
          <w:sz w:val="22"/>
        </w:rPr>
        <w:t xml:space="preserve">дов населения </w:t>
      </w:r>
      <w:r w:rsidR="00A9515A" w:rsidRPr="0017508B">
        <w:rPr>
          <w:sz w:val="22"/>
        </w:rPr>
        <w:t>также</w:t>
      </w:r>
      <w:r w:rsidR="00A9515A" w:rsidRPr="00BF3F5F">
        <w:rPr>
          <w:sz w:val="22"/>
        </w:rPr>
        <w:t xml:space="preserve"> </w:t>
      </w:r>
      <w:r w:rsidRPr="00BF3F5F">
        <w:rPr>
          <w:sz w:val="22"/>
        </w:rPr>
        <w:t xml:space="preserve">оценивается через его использование – расходы и сбережения. При </w:t>
      </w:r>
      <w:r>
        <w:rPr>
          <w:sz w:val="22"/>
        </w:rPr>
        <w:t>этом</w:t>
      </w:r>
      <w:r w:rsidRPr="00BF3F5F">
        <w:rPr>
          <w:sz w:val="22"/>
        </w:rPr>
        <w:t xml:space="preserve"> было принято исходное положение, что все элементы расходов и сбережений </w:t>
      </w:r>
      <w:r>
        <w:rPr>
          <w:sz w:val="22"/>
        </w:rPr>
        <w:t xml:space="preserve">(5 показателей) </w:t>
      </w:r>
      <w:r w:rsidRPr="00BF3F5F">
        <w:rPr>
          <w:sz w:val="22"/>
        </w:rPr>
        <w:t>являются частью располагаемого дохода индивидуума.</w:t>
      </w:r>
    </w:p>
    <w:p w:rsidR="0017508B" w:rsidRPr="0017508B" w:rsidRDefault="0017508B" w:rsidP="0017508B">
      <w:pPr>
        <w:spacing w:before="100" w:after="0" w:line="240" w:lineRule="auto"/>
        <w:jc w:val="both"/>
        <w:rPr>
          <w:b/>
          <w:sz w:val="22"/>
        </w:rPr>
      </w:pPr>
      <w:r w:rsidRPr="0017508B">
        <w:rPr>
          <w:b/>
          <w:sz w:val="22"/>
        </w:rPr>
        <w:t>Рисунок 1. Доля потребительских расходов</w:t>
      </w:r>
      <w:r w:rsidRPr="0017508B">
        <w:rPr>
          <w:rStyle w:val="a9"/>
          <w:b/>
          <w:sz w:val="22"/>
        </w:rPr>
        <w:footnoteReference w:id="4"/>
      </w:r>
      <w:r w:rsidRPr="0017508B">
        <w:rPr>
          <w:b/>
          <w:sz w:val="22"/>
        </w:rPr>
        <w:t xml:space="preserve"> в ВРП в 2008 г., в %.</w:t>
      </w:r>
    </w:p>
    <w:p w:rsidR="0017508B" w:rsidRPr="0017508B" w:rsidRDefault="0017508B" w:rsidP="0017508B">
      <w:pPr>
        <w:spacing w:before="100" w:after="0" w:line="240" w:lineRule="auto"/>
        <w:jc w:val="center"/>
        <w:rPr>
          <w:sz w:val="22"/>
        </w:rPr>
      </w:pPr>
      <w:r w:rsidRPr="0017508B">
        <w:rPr>
          <w:noProof/>
          <w:sz w:val="22"/>
          <w:lang w:eastAsia="ru-RU"/>
        </w:rPr>
        <w:drawing>
          <wp:inline distT="0" distB="0" distL="0" distR="0">
            <wp:extent cx="4572000" cy="274320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A5551" w:rsidRPr="006A5551" w:rsidRDefault="006A5551" w:rsidP="00BA507C">
      <w:pPr>
        <w:spacing w:before="100" w:after="0" w:line="240" w:lineRule="auto"/>
        <w:jc w:val="both"/>
        <w:rPr>
          <w:sz w:val="22"/>
        </w:rPr>
      </w:pPr>
      <w:r w:rsidRPr="006A5551">
        <w:rPr>
          <w:sz w:val="22"/>
        </w:rPr>
        <w:t>Расходы представляют собой сумму расходов на товары и услуги. Статистически это сумма розничного товарооборота и платных услуг в расчете на душу населения.</w:t>
      </w:r>
      <w:r w:rsidR="00BA507C">
        <w:rPr>
          <w:sz w:val="22"/>
        </w:rPr>
        <w:t xml:space="preserve"> </w:t>
      </w:r>
      <w:r w:rsidRPr="006A5551">
        <w:rPr>
          <w:sz w:val="22"/>
        </w:rPr>
        <w:t xml:space="preserve">В 2005 году среднегодовой </w:t>
      </w:r>
      <w:r w:rsidR="00462870">
        <w:rPr>
          <w:sz w:val="22"/>
        </w:rPr>
        <w:t xml:space="preserve">официальный </w:t>
      </w:r>
      <w:r w:rsidRPr="006A5551">
        <w:rPr>
          <w:sz w:val="22"/>
        </w:rPr>
        <w:t xml:space="preserve">курс доллара США составил 1014 сумов. Если ближайшей достижимой целью на период 2004-2008 год было увеличение среднедушевого дохода до 300 дол. США, то в национальной валюте и в базовых ценах 2005 года максимум составит (с небольшим округлением «вниз») 3 млн. сумов. В соответствии с предоставленной </w:t>
      </w:r>
      <w:r w:rsidR="00462870">
        <w:rPr>
          <w:sz w:val="22"/>
        </w:rPr>
        <w:t>Г</w:t>
      </w:r>
      <w:r w:rsidRPr="006A5551">
        <w:rPr>
          <w:sz w:val="22"/>
        </w:rPr>
        <w:t xml:space="preserve">оскомстатом </w:t>
      </w:r>
      <w:r w:rsidR="00462870">
        <w:rPr>
          <w:sz w:val="22"/>
        </w:rPr>
        <w:t xml:space="preserve">РУз </w:t>
      </w:r>
      <w:r w:rsidRPr="006A5551">
        <w:rPr>
          <w:sz w:val="22"/>
        </w:rPr>
        <w:t>информацией по распределению ВВП, доля частного потребления в ВВП в этот период составляла около 50% (в 2008 году 48,7%). Это дает возможность разбить располагаемый доход на 2 равные части и установить максимальное значение и для потребляемой и для сберегаемой части</w:t>
      </w:r>
      <w:r w:rsidR="00462870">
        <w:rPr>
          <w:sz w:val="22"/>
        </w:rPr>
        <w:t xml:space="preserve"> </w:t>
      </w:r>
      <w:r w:rsidRPr="006A5551">
        <w:rPr>
          <w:sz w:val="22"/>
        </w:rPr>
        <w:t>на уровне 1 млн. 500 тыс. сумов.</w:t>
      </w:r>
      <w:r w:rsidR="00462870">
        <w:rPr>
          <w:sz w:val="22"/>
        </w:rPr>
        <w:t xml:space="preserve"> Ч</w:t>
      </w:r>
      <w:r w:rsidRPr="006A5551">
        <w:rPr>
          <w:sz w:val="22"/>
        </w:rPr>
        <w:t>то касается минимального значения, то учитывая, очень низкие значения инвестируемой и сб</w:t>
      </w:r>
      <w:r w:rsidR="00462870">
        <w:rPr>
          <w:sz w:val="22"/>
        </w:rPr>
        <w:t>ерегаемой сумм в некоторых реги</w:t>
      </w:r>
      <w:r w:rsidRPr="006A5551">
        <w:rPr>
          <w:sz w:val="22"/>
        </w:rPr>
        <w:t>онах (5 тыс. сум. на душу населения), а также значительный разрыв в уровне расходов на товары и услуги, минимальное значение было приравнено нулю. Таким образом, индикаторы 1-3 получили равный интервал между максимумом и минимумом в размере 1</w:t>
      </w:r>
      <w:r w:rsidR="00A9515A">
        <w:rPr>
          <w:sz w:val="22"/>
        </w:rPr>
        <w:t>,</w:t>
      </w:r>
      <w:r w:rsidRPr="006A5551">
        <w:rPr>
          <w:sz w:val="22"/>
        </w:rPr>
        <w:t xml:space="preserve">5 </w:t>
      </w:r>
      <w:r w:rsidR="00A9515A">
        <w:rPr>
          <w:sz w:val="22"/>
        </w:rPr>
        <w:t>млн</w:t>
      </w:r>
      <w:r w:rsidRPr="006A5551">
        <w:rPr>
          <w:sz w:val="22"/>
        </w:rPr>
        <w:t>. сумов в год. В результате формула для расчета каждого индикатора принимает вид:</w:t>
      </w:r>
    </w:p>
    <w:p w:rsidR="006A5551" w:rsidRPr="006A5551" w:rsidRDefault="006A5551" w:rsidP="006A5551">
      <w:pPr>
        <w:pStyle w:val="a4"/>
        <w:spacing w:beforeAutospacing="0" w:after="0" w:afterAutospacing="0"/>
        <w:jc w:val="both"/>
        <w:rPr>
          <w:sz w:val="22"/>
          <w:szCs w:val="22"/>
        </w:rPr>
      </w:pPr>
      <w:r w:rsidRPr="006A5551">
        <w:rPr>
          <w:position w:val="-30"/>
          <w:sz w:val="22"/>
          <w:szCs w:val="22"/>
        </w:rPr>
        <w:object w:dxaOrig="1140" w:dyaOrig="1040">
          <v:shape id="_x0000_i1039" type="#_x0000_t75" style="width:57pt;height:51pt" o:ole="">
            <v:imagedata r:id="rId35" o:title=""/>
          </v:shape>
          <o:OLEObject Type="Embed" ProgID="Equation.DSMT4" ShapeID="_x0000_i1039" DrawAspect="Content" ObjectID="_1363103620" r:id="rId36"/>
        </w:object>
      </w:r>
      <w:r w:rsidRPr="006A5551">
        <w:rPr>
          <w:sz w:val="22"/>
          <w:szCs w:val="22"/>
        </w:rPr>
        <w:t xml:space="preserve">, где </w:t>
      </w:r>
      <w:r w:rsidRPr="006A5551">
        <w:rPr>
          <w:sz w:val="22"/>
          <w:szCs w:val="22"/>
          <w:lang w:val="en-US"/>
        </w:rPr>
        <w:t>i</w:t>
      </w:r>
      <w:r w:rsidRPr="006A5551">
        <w:rPr>
          <w:sz w:val="22"/>
          <w:szCs w:val="22"/>
        </w:rPr>
        <w:t xml:space="preserve"> - номер региона, </w:t>
      </w:r>
      <w:r w:rsidRPr="006A5551">
        <w:rPr>
          <w:sz w:val="22"/>
          <w:szCs w:val="22"/>
          <w:lang w:val="en-US"/>
        </w:rPr>
        <w:t>k</w:t>
      </w:r>
      <w:r w:rsidR="00A9515A">
        <w:rPr>
          <w:sz w:val="22"/>
          <w:szCs w:val="22"/>
        </w:rPr>
        <w:t xml:space="preserve"> </w:t>
      </w:r>
      <w:r w:rsidRPr="006A5551">
        <w:rPr>
          <w:sz w:val="22"/>
          <w:szCs w:val="22"/>
        </w:rPr>
        <w:t>-</w:t>
      </w:r>
      <w:r w:rsidR="00A9515A">
        <w:rPr>
          <w:sz w:val="22"/>
          <w:szCs w:val="22"/>
        </w:rPr>
        <w:t xml:space="preserve"> </w:t>
      </w:r>
      <w:r w:rsidRPr="006A5551">
        <w:rPr>
          <w:sz w:val="22"/>
          <w:szCs w:val="22"/>
        </w:rPr>
        <w:t xml:space="preserve">номер индикатора, j – номер показателя, </w:t>
      </w:r>
      <w:r w:rsidRPr="006A5551">
        <w:rPr>
          <w:sz w:val="22"/>
          <w:szCs w:val="22"/>
          <w:lang w:val="en-US"/>
        </w:rPr>
        <w:t>m</w:t>
      </w:r>
      <w:r w:rsidRPr="006A5551">
        <w:rPr>
          <w:sz w:val="22"/>
          <w:szCs w:val="22"/>
        </w:rPr>
        <w:t xml:space="preserve"> - число показателей, </w:t>
      </w:r>
      <w:r w:rsidRPr="006A5551">
        <w:rPr>
          <w:sz w:val="22"/>
          <w:szCs w:val="22"/>
          <w:lang w:val="en-US"/>
        </w:rPr>
        <w:t>C</w:t>
      </w:r>
      <w:r w:rsidRPr="006A5551">
        <w:rPr>
          <w:sz w:val="22"/>
          <w:szCs w:val="22"/>
        </w:rPr>
        <w:t>- значение показателя в сумах на душу населения.</w:t>
      </w:r>
    </w:p>
    <w:p w:rsidR="006A5551" w:rsidRPr="006A5551" w:rsidRDefault="006A5551" w:rsidP="006A5551">
      <w:pPr>
        <w:pStyle w:val="a4"/>
        <w:spacing w:beforeAutospacing="0" w:after="0" w:afterAutospacing="0"/>
        <w:jc w:val="both"/>
        <w:rPr>
          <w:sz w:val="22"/>
          <w:szCs w:val="22"/>
        </w:rPr>
      </w:pPr>
      <w:r w:rsidRPr="006A5551">
        <w:rPr>
          <w:sz w:val="22"/>
          <w:szCs w:val="22"/>
        </w:rPr>
        <w:t xml:space="preserve">Общее значение экономического индекса будет равно сумме индикаторов: </w:t>
      </w:r>
    </w:p>
    <w:p w:rsidR="006A5551" w:rsidRPr="006A5551" w:rsidRDefault="006A5551" w:rsidP="006A5551">
      <w:pPr>
        <w:pStyle w:val="a4"/>
        <w:spacing w:beforeAutospacing="0" w:after="0" w:afterAutospacing="0"/>
        <w:jc w:val="both"/>
        <w:rPr>
          <w:sz w:val="22"/>
          <w:szCs w:val="22"/>
        </w:rPr>
      </w:pPr>
      <w:r w:rsidRPr="006A5551">
        <w:rPr>
          <w:position w:val="-30"/>
          <w:sz w:val="22"/>
          <w:szCs w:val="22"/>
        </w:rPr>
        <w:object w:dxaOrig="2180" w:dyaOrig="1060">
          <v:shape id="_x0000_i1040" type="#_x0000_t75" style="width:108pt;height:53.5pt" o:ole="">
            <v:imagedata r:id="rId37" o:title=""/>
          </v:shape>
          <o:OLEObject Type="Embed" ProgID="Equation.DSMT4" ShapeID="_x0000_i1040" DrawAspect="Content" ObjectID="_1363103621" r:id="rId38"/>
        </w:object>
      </w:r>
      <w:r w:rsidRPr="006A5551">
        <w:rPr>
          <w:sz w:val="22"/>
          <w:szCs w:val="22"/>
        </w:rPr>
        <w:t>.</w:t>
      </w:r>
    </w:p>
    <w:p w:rsidR="00BF3F5F" w:rsidRPr="0028571B" w:rsidRDefault="006A5551" w:rsidP="0028571B">
      <w:pPr>
        <w:spacing w:before="100" w:after="0" w:line="240" w:lineRule="auto"/>
        <w:jc w:val="both"/>
        <w:rPr>
          <w:sz w:val="22"/>
        </w:rPr>
      </w:pPr>
      <w:r w:rsidRPr="006A5551">
        <w:rPr>
          <w:sz w:val="22"/>
        </w:rPr>
        <w:t>В таком виде сводный экономический индекс человеческого развития показывает, в каком из регионов видимая (расходуемая или сберегаемая в банковской системе) часть располагаемого дохода ближе к установленному максимальному значению. Значения индекса за период времени 2004-2008 года не превышают единицы. Но в следующие годы они могут превысить еди</w:t>
      </w:r>
      <w:r w:rsidRPr="0028571B">
        <w:rPr>
          <w:sz w:val="22"/>
        </w:rPr>
        <w:t xml:space="preserve">ницу, хотя во многих странах разработчики индексов регионального развития стремятся, чтобы его значение было в интервале [0;1]. </w:t>
      </w:r>
    </w:p>
    <w:p w:rsidR="00BF3F5F" w:rsidRDefault="00BF3F5F" w:rsidP="0028571B">
      <w:pPr>
        <w:spacing w:before="100" w:after="0" w:line="240" w:lineRule="auto"/>
        <w:jc w:val="both"/>
        <w:rPr>
          <w:sz w:val="22"/>
        </w:rPr>
      </w:pPr>
      <w:r w:rsidRPr="0028571B">
        <w:rPr>
          <w:sz w:val="22"/>
        </w:rPr>
        <w:t>Для обеспечения сопоставимости все показатели рассчитывались на душу населения с использованием данных о среднегодовой численности населения, публикуемых Госкомстатом. В целях элиминирования инфляции все показатели рассчитывались в базовых ценах 2005 года по региональным дефляторам ВРП.</w:t>
      </w:r>
      <w:r w:rsidR="008C3F30" w:rsidRPr="0028571B">
        <w:rPr>
          <w:sz w:val="22"/>
        </w:rPr>
        <w:t xml:space="preserve"> </w:t>
      </w:r>
    </w:p>
    <w:p w:rsidR="0028571B" w:rsidRPr="0028571B" w:rsidRDefault="00112BDD" w:rsidP="0028571B">
      <w:pPr>
        <w:spacing w:before="100" w:after="0" w:line="240" w:lineRule="auto"/>
        <w:jc w:val="both"/>
        <w:rPr>
          <w:sz w:val="22"/>
        </w:rPr>
      </w:pPr>
      <w:r>
        <w:rPr>
          <w:sz w:val="22"/>
        </w:rPr>
        <w:t xml:space="preserve">Какие еще компоненты должны быть включены в ИЧР? </w:t>
      </w:r>
      <w:r w:rsidR="0028571B" w:rsidRPr="0028571B">
        <w:rPr>
          <w:sz w:val="22"/>
        </w:rPr>
        <w:t>Человеческое развитие традиционно рассматривается в трех измерениях: доходы, как возможность для удовлетворения потребностей, долгая и здоровая жизнь, как цель, к которой стремятся все люди и необходимое условие для реализации всех других аспектов человеческого развития, и уровень образования, как условие расширения возможностей человека.</w:t>
      </w:r>
      <w:r>
        <w:rPr>
          <w:sz w:val="22"/>
        </w:rPr>
        <w:t xml:space="preserve"> </w:t>
      </w:r>
      <w:r w:rsidR="0028571B" w:rsidRPr="0028571B">
        <w:rPr>
          <w:sz w:val="22"/>
        </w:rPr>
        <w:t>В экспертном сообществе самого начала использования индекса человеческого развития (</w:t>
      </w:r>
      <w:r w:rsidR="0028571B" w:rsidRPr="0028571B">
        <w:rPr>
          <w:sz w:val="22"/>
          <w:lang w:val="en-US"/>
        </w:rPr>
        <w:t>HDI</w:t>
      </w:r>
      <w:r w:rsidR="0028571B" w:rsidRPr="0028571B">
        <w:rPr>
          <w:sz w:val="22"/>
        </w:rPr>
        <w:t>) ведутся дискуссии о том, какие еще компоненты должны включаться в оценку  уровня человеческого развития. Наиболее часто в этой связи упоминаются: доступ к чистой питьевой воде и санитарным условиям; экологические показатели; безопасность и социальные болезни (преступность, наркомания и алкоголизм и др.); гендерное равенство, расширение прав и возможностей женщин.</w:t>
      </w:r>
    </w:p>
    <w:p w:rsidR="0028571B" w:rsidRPr="0028571B" w:rsidRDefault="0028571B" w:rsidP="0028571B">
      <w:pPr>
        <w:spacing w:before="100" w:after="0" w:line="240" w:lineRule="auto"/>
        <w:jc w:val="both"/>
        <w:rPr>
          <w:sz w:val="22"/>
        </w:rPr>
      </w:pPr>
      <w:r w:rsidRPr="0028571B">
        <w:rPr>
          <w:sz w:val="22"/>
        </w:rPr>
        <w:t xml:space="preserve">На глобальном и страновом уровне некоторые из этих аспектов уже сегодня включаются в индекс человеческого развития (так, например, наряду с </w:t>
      </w:r>
      <w:r w:rsidRPr="0028571B">
        <w:rPr>
          <w:sz w:val="22"/>
          <w:lang w:val="en-US"/>
        </w:rPr>
        <w:t>HDI</w:t>
      </w:r>
      <w:r w:rsidRPr="0028571B">
        <w:rPr>
          <w:sz w:val="22"/>
        </w:rPr>
        <w:t xml:space="preserve"> рассчитывается </w:t>
      </w:r>
      <w:r w:rsidRPr="0028571B">
        <w:rPr>
          <w:sz w:val="22"/>
          <w:lang w:val="en-US"/>
        </w:rPr>
        <w:t>GDI</w:t>
      </w:r>
      <w:r w:rsidRPr="0028571B">
        <w:rPr>
          <w:sz w:val="22"/>
        </w:rPr>
        <w:t>, учитывающий различие в показателях доходов, продолжительности жизни и образовании для мужчин и женщин).</w:t>
      </w:r>
    </w:p>
    <w:p w:rsidR="006A5551" w:rsidRPr="006A5551" w:rsidRDefault="0028571B" w:rsidP="0028571B">
      <w:pPr>
        <w:spacing w:before="100" w:after="0" w:line="240" w:lineRule="auto"/>
        <w:jc w:val="both"/>
        <w:rPr>
          <w:sz w:val="22"/>
        </w:rPr>
      </w:pPr>
      <w:r w:rsidRPr="0028571B">
        <w:rPr>
          <w:sz w:val="22"/>
        </w:rPr>
        <w:t xml:space="preserve">Построение социального компонента индекса должно учитывать как ориентацию настоящего доклада на субнациональный уровень, его упор на сравнение регионов, так и релевантность для Узбекистана и его регионов показателей, используемых для оценки человеческого развития. В этой связи было принято решение, что неэкономические аспекты развития человеческого потенциала должны быть представлены </w:t>
      </w:r>
      <w:r w:rsidRPr="0028571B">
        <w:rPr>
          <w:b/>
          <w:i/>
          <w:sz w:val="22"/>
        </w:rPr>
        <w:t>социальным индексом человеческого развития</w:t>
      </w:r>
      <w:r w:rsidRPr="0028571B">
        <w:rPr>
          <w:sz w:val="22"/>
        </w:rPr>
        <w:t xml:space="preserve"> (СИЧР), состоящим из четырех компонентов:</w:t>
      </w:r>
      <w:r w:rsidR="006A5551" w:rsidRPr="006A5551">
        <w:rPr>
          <w:sz w:val="22"/>
        </w:rPr>
        <w:t xml:space="preserve"> здоровья, образования, «социальных болезней», гендерного равенства.</w:t>
      </w:r>
    </w:p>
    <w:p w:rsidR="006A5551" w:rsidRPr="006A5551" w:rsidRDefault="006A5551" w:rsidP="000A792E">
      <w:pPr>
        <w:spacing w:before="100" w:after="0" w:line="240" w:lineRule="auto"/>
        <w:jc w:val="both"/>
        <w:rPr>
          <w:sz w:val="22"/>
        </w:rPr>
      </w:pPr>
      <w:r w:rsidRPr="000A792E">
        <w:rPr>
          <w:b/>
          <w:i/>
          <w:sz w:val="22"/>
        </w:rPr>
        <w:t>Индекс здоро</w:t>
      </w:r>
      <w:r w:rsidR="00462870" w:rsidRPr="000A792E">
        <w:rPr>
          <w:b/>
          <w:i/>
          <w:sz w:val="22"/>
        </w:rPr>
        <w:t>в</w:t>
      </w:r>
      <w:r w:rsidRPr="000A792E">
        <w:rPr>
          <w:b/>
          <w:i/>
          <w:sz w:val="22"/>
        </w:rPr>
        <w:t>ья</w:t>
      </w:r>
      <w:r w:rsidRPr="006A5551">
        <w:rPr>
          <w:sz w:val="22"/>
        </w:rPr>
        <w:t>.</w:t>
      </w:r>
      <w:r w:rsidR="000A792E">
        <w:rPr>
          <w:sz w:val="22"/>
        </w:rPr>
        <w:t xml:space="preserve"> </w:t>
      </w:r>
      <w:r w:rsidRPr="006A5551">
        <w:rPr>
          <w:sz w:val="22"/>
        </w:rPr>
        <w:t>Основным индикатором в индексе здоровья является ожидаемая продолжительность жизни при рождении. Этот показатель включается в индекс с учетом различной продолжительности жизни у мужчин и женщин, т.е. с учетом гендерного фактора.</w:t>
      </w:r>
      <w:r w:rsidR="00462870">
        <w:rPr>
          <w:sz w:val="22"/>
        </w:rPr>
        <w:t xml:space="preserve"> </w:t>
      </w:r>
      <w:r w:rsidRPr="006A5551">
        <w:rPr>
          <w:sz w:val="22"/>
        </w:rPr>
        <w:t xml:space="preserve">Равномерно распределенный индекс продолжительности жизни рассчитывается в два этапа. Вначале рассчитываются индексы продолжительности жизни отдельно для женщин и мужчин. Затем </w:t>
      </w:r>
      <w:r w:rsidRPr="006A5551">
        <w:rPr>
          <w:color w:val="231F20"/>
          <w:sz w:val="22"/>
        </w:rPr>
        <w:t>индексы для женщин и мужчин сводятся вместе таким образом, чтобы учесть разницу в уровнях достижений мужчин и женщин в качестве отрицательного фактора. Получаемый в результате индекс, который называется равномерно распределенным (или равнораспределенным) индексом, рассчитывается по следующей формуле:</w:t>
      </w:r>
      <w:r w:rsidRPr="006A5551">
        <w:rPr>
          <w:sz w:val="22"/>
        </w:rPr>
        <w:t xml:space="preserve"> </w:t>
      </w:r>
    </w:p>
    <w:p w:rsidR="006A5551" w:rsidRPr="006A5551" w:rsidRDefault="006A5551" w:rsidP="006A5551">
      <w:pPr>
        <w:autoSpaceDE w:val="0"/>
        <w:autoSpaceDN w:val="0"/>
        <w:adjustRightInd w:val="0"/>
        <w:spacing w:before="100" w:after="0" w:line="240" w:lineRule="auto"/>
        <w:rPr>
          <w:sz w:val="22"/>
        </w:rPr>
      </w:pPr>
      <w:r w:rsidRPr="006A5551">
        <w:rPr>
          <w:position w:val="-24"/>
          <w:sz w:val="22"/>
        </w:rPr>
        <w:object w:dxaOrig="2060" w:dyaOrig="660">
          <v:shape id="_x0000_i1041" type="#_x0000_t75" style="width:103pt;height:33.5pt" o:ole="">
            <v:imagedata r:id="rId39" o:title=""/>
          </v:shape>
          <o:OLEObject Type="Embed" ProgID="Equation.DSMT4" ShapeID="_x0000_i1041" DrawAspect="Content" ObjectID="_1363103622" r:id="rId40"/>
        </w:object>
      </w:r>
    </w:p>
    <w:p w:rsidR="006A5551" w:rsidRPr="006A5551" w:rsidRDefault="006A5551" w:rsidP="006A5551">
      <w:pPr>
        <w:autoSpaceDE w:val="0"/>
        <w:autoSpaceDN w:val="0"/>
        <w:adjustRightInd w:val="0"/>
        <w:spacing w:before="100" w:after="0" w:line="240" w:lineRule="auto"/>
        <w:rPr>
          <w:sz w:val="22"/>
        </w:rPr>
      </w:pPr>
      <w:r w:rsidRPr="006A5551">
        <w:rPr>
          <w:sz w:val="22"/>
        </w:rPr>
        <w:t xml:space="preserve">где </w:t>
      </w:r>
      <w:r w:rsidRPr="006A5551">
        <w:rPr>
          <w:i/>
          <w:iCs/>
          <w:sz w:val="22"/>
        </w:rPr>
        <w:t>E</w:t>
      </w:r>
      <w:r w:rsidRPr="006A5551">
        <w:rPr>
          <w:i/>
          <w:iCs/>
          <w:sz w:val="22"/>
          <w:lang w:val="en-US"/>
        </w:rPr>
        <w:t>L</w:t>
      </w:r>
      <w:r w:rsidRPr="006A5551">
        <w:rPr>
          <w:i/>
          <w:iCs/>
          <w:sz w:val="22"/>
        </w:rPr>
        <w:t xml:space="preserve">I </w:t>
      </w:r>
      <w:r w:rsidRPr="006A5551">
        <w:rPr>
          <w:sz w:val="22"/>
        </w:rPr>
        <w:t>- индекс равномерного распределения;</w:t>
      </w:r>
    </w:p>
    <w:p w:rsidR="006A5551" w:rsidRPr="006A5551" w:rsidRDefault="006A5551" w:rsidP="006A5551">
      <w:pPr>
        <w:autoSpaceDE w:val="0"/>
        <w:autoSpaceDN w:val="0"/>
        <w:adjustRightInd w:val="0"/>
        <w:spacing w:before="100" w:after="0" w:line="240" w:lineRule="auto"/>
        <w:rPr>
          <w:sz w:val="22"/>
        </w:rPr>
      </w:pPr>
      <w:r w:rsidRPr="006A5551">
        <w:rPr>
          <w:i/>
          <w:iCs/>
          <w:sz w:val="22"/>
        </w:rPr>
        <w:t xml:space="preserve">FP - </w:t>
      </w:r>
      <w:r w:rsidRPr="006A5551">
        <w:rPr>
          <w:sz w:val="22"/>
        </w:rPr>
        <w:t>доля женского населения;</w:t>
      </w:r>
    </w:p>
    <w:p w:rsidR="006A5551" w:rsidRPr="006A5551" w:rsidRDefault="006A5551" w:rsidP="006A5551">
      <w:pPr>
        <w:autoSpaceDE w:val="0"/>
        <w:autoSpaceDN w:val="0"/>
        <w:adjustRightInd w:val="0"/>
        <w:spacing w:before="100" w:after="0" w:line="240" w:lineRule="auto"/>
        <w:rPr>
          <w:sz w:val="22"/>
        </w:rPr>
      </w:pPr>
      <w:r w:rsidRPr="006A5551">
        <w:rPr>
          <w:i/>
          <w:iCs/>
          <w:sz w:val="22"/>
        </w:rPr>
        <w:t xml:space="preserve">FI - </w:t>
      </w:r>
      <w:r w:rsidRPr="006A5551">
        <w:rPr>
          <w:sz w:val="22"/>
        </w:rPr>
        <w:t>индекс женского населения;</w:t>
      </w:r>
    </w:p>
    <w:p w:rsidR="006A5551" w:rsidRPr="006A5551" w:rsidRDefault="006A5551" w:rsidP="006A5551">
      <w:pPr>
        <w:autoSpaceDE w:val="0"/>
        <w:autoSpaceDN w:val="0"/>
        <w:adjustRightInd w:val="0"/>
        <w:spacing w:before="100" w:after="0" w:line="240" w:lineRule="auto"/>
        <w:rPr>
          <w:sz w:val="22"/>
        </w:rPr>
      </w:pPr>
      <w:r w:rsidRPr="006A5551">
        <w:rPr>
          <w:i/>
          <w:iCs/>
          <w:sz w:val="22"/>
        </w:rPr>
        <w:t xml:space="preserve">MP </w:t>
      </w:r>
      <w:r w:rsidRPr="006A5551">
        <w:rPr>
          <w:sz w:val="22"/>
        </w:rPr>
        <w:t>- доля мужского населения;</w:t>
      </w:r>
    </w:p>
    <w:p w:rsidR="006A5551" w:rsidRPr="006A5551" w:rsidRDefault="006A5551" w:rsidP="006A5551">
      <w:pPr>
        <w:autoSpaceDE w:val="0"/>
        <w:autoSpaceDN w:val="0"/>
        <w:adjustRightInd w:val="0"/>
        <w:spacing w:before="100" w:after="0" w:line="240" w:lineRule="auto"/>
        <w:rPr>
          <w:sz w:val="22"/>
        </w:rPr>
      </w:pPr>
      <w:r w:rsidRPr="006A5551">
        <w:rPr>
          <w:i/>
          <w:iCs/>
          <w:sz w:val="22"/>
        </w:rPr>
        <w:t xml:space="preserve">MI - </w:t>
      </w:r>
      <w:r w:rsidRPr="006A5551">
        <w:rPr>
          <w:sz w:val="22"/>
        </w:rPr>
        <w:t xml:space="preserve">индекс мужского населения. </w:t>
      </w:r>
    </w:p>
    <w:p w:rsidR="009C2421" w:rsidRPr="006A5551" w:rsidRDefault="009C2421" w:rsidP="009C2421">
      <w:pPr>
        <w:autoSpaceDE w:val="0"/>
        <w:autoSpaceDN w:val="0"/>
        <w:adjustRightInd w:val="0"/>
        <w:spacing w:before="100" w:after="0" w:line="240" w:lineRule="auto"/>
        <w:rPr>
          <w:sz w:val="22"/>
        </w:rPr>
      </w:pPr>
      <w:r>
        <w:rPr>
          <w:sz w:val="22"/>
          <w:lang w:val="en-US"/>
        </w:rPr>
        <w:lastRenderedPageBreak/>
        <w:t>z</w:t>
      </w:r>
      <w:r>
        <w:rPr>
          <w:sz w:val="22"/>
        </w:rPr>
        <w:t xml:space="preserve"> – параметр, характеризующий «общественное отрицание неравенства».</w:t>
      </w:r>
    </w:p>
    <w:p w:rsidR="006A5551" w:rsidRPr="009C2421" w:rsidRDefault="006A5551" w:rsidP="00462870">
      <w:pPr>
        <w:autoSpaceDE w:val="0"/>
        <w:autoSpaceDN w:val="0"/>
        <w:adjustRightInd w:val="0"/>
        <w:spacing w:before="100" w:after="0" w:line="240" w:lineRule="auto"/>
        <w:jc w:val="both"/>
        <w:rPr>
          <w:color w:val="000000"/>
          <w:sz w:val="22"/>
        </w:rPr>
      </w:pPr>
      <w:r w:rsidRPr="006A5551">
        <w:rPr>
          <w:sz w:val="22"/>
        </w:rPr>
        <w:t xml:space="preserve">Специального обсуждения заслуживает параметр </w:t>
      </w:r>
      <w:r w:rsidRPr="006A5551">
        <w:rPr>
          <w:sz w:val="22"/>
          <w:lang w:val="en-US"/>
        </w:rPr>
        <w:t>z</w:t>
      </w:r>
      <w:r w:rsidRPr="006A5551">
        <w:rPr>
          <w:sz w:val="22"/>
        </w:rPr>
        <w:t xml:space="preserve">. Его определяют как </w:t>
      </w:r>
      <w:r w:rsidR="00462870">
        <w:rPr>
          <w:sz w:val="22"/>
        </w:rPr>
        <w:t>«</w:t>
      </w:r>
      <w:r w:rsidRPr="006A5551">
        <w:rPr>
          <w:sz w:val="22"/>
        </w:rPr>
        <w:t xml:space="preserve">степень неприятия неравенства». Чем он больше, тем сильнее снижается значение равнораспределенного индекса при неравенстве индексов ожидаемой продолжительности </w:t>
      </w:r>
      <w:r w:rsidR="00462870">
        <w:rPr>
          <w:sz w:val="22"/>
        </w:rPr>
        <w:t>ж</w:t>
      </w:r>
      <w:r w:rsidRPr="006A5551">
        <w:rPr>
          <w:sz w:val="22"/>
        </w:rPr>
        <w:t xml:space="preserve">изни для мужчин и женщин, в какую сторону не происходили бы отклонения. При </w:t>
      </w:r>
      <w:r w:rsidRPr="006A5551">
        <w:rPr>
          <w:sz w:val="22"/>
          <w:lang w:val="en-US"/>
        </w:rPr>
        <w:t>z</w:t>
      </w:r>
      <w:r w:rsidRPr="006A5551">
        <w:rPr>
          <w:sz w:val="22"/>
        </w:rPr>
        <w:t xml:space="preserve">=0 </w:t>
      </w:r>
      <w:r w:rsidR="00462870">
        <w:rPr>
          <w:sz w:val="22"/>
        </w:rPr>
        <w:t>р</w:t>
      </w:r>
      <w:r w:rsidRPr="006A5551">
        <w:rPr>
          <w:sz w:val="22"/>
        </w:rPr>
        <w:t>авномерно распределенный индекс равен  среднему индексу продолжительности жизни для обоих полов, т.к. в таком случае индекс не учитывает отрицательное знач</w:t>
      </w:r>
      <w:r w:rsidR="00462870">
        <w:rPr>
          <w:sz w:val="22"/>
        </w:rPr>
        <w:t>е</w:t>
      </w:r>
      <w:r w:rsidRPr="006A5551">
        <w:rPr>
          <w:sz w:val="22"/>
        </w:rPr>
        <w:t xml:space="preserve">ние неравенства между женщинами и мужчинами. </w:t>
      </w:r>
      <w:r w:rsidRPr="006A5551">
        <w:rPr>
          <w:color w:val="000000"/>
          <w:sz w:val="22"/>
        </w:rPr>
        <w:t>По мере</w:t>
      </w:r>
      <w:r w:rsidR="00462870">
        <w:rPr>
          <w:color w:val="000000"/>
          <w:sz w:val="22"/>
        </w:rPr>
        <w:t xml:space="preserve"> </w:t>
      </w:r>
      <w:r w:rsidRPr="006A5551">
        <w:rPr>
          <w:color w:val="000000"/>
          <w:sz w:val="22"/>
        </w:rPr>
        <w:t xml:space="preserve">возрастания параметра </w:t>
      </w:r>
      <w:r w:rsidRPr="006A5551">
        <w:rPr>
          <w:color w:val="000000"/>
          <w:sz w:val="22"/>
          <w:lang w:val="en-US"/>
        </w:rPr>
        <w:t>z</w:t>
      </w:r>
      <w:r w:rsidRPr="006A5551">
        <w:rPr>
          <w:color w:val="000000"/>
          <w:sz w:val="22"/>
        </w:rPr>
        <w:t>, полу с меньшим з</w:t>
      </w:r>
      <w:r w:rsidRPr="009C2421">
        <w:rPr>
          <w:color w:val="000000"/>
          <w:sz w:val="22"/>
        </w:rPr>
        <w:t>начением собственного индекса</w:t>
      </w:r>
      <w:r w:rsidRPr="009C2421">
        <w:rPr>
          <w:color w:val="231F20"/>
          <w:sz w:val="22"/>
        </w:rPr>
        <w:t xml:space="preserve"> придается все больший вес</w:t>
      </w:r>
      <w:r w:rsidRPr="009C2421">
        <w:rPr>
          <w:color w:val="000000"/>
          <w:sz w:val="22"/>
        </w:rPr>
        <w:t xml:space="preserve">. </w:t>
      </w:r>
    </w:p>
    <w:p w:rsidR="006A5551" w:rsidRPr="006A5551" w:rsidRDefault="006A5551" w:rsidP="00462870">
      <w:pPr>
        <w:autoSpaceDE w:val="0"/>
        <w:autoSpaceDN w:val="0"/>
        <w:adjustRightInd w:val="0"/>
        <w:spacing w:before="100" w:after="0" w:line="240" w:lineRule="auto"/>
        <w:jc w:val="both"/>
        <w:rPr>
          <w:color w:val="000000"/>
          <w:sz w:val="22"/>
        </w:rPr>
      </w:pPr>
      <w:r w:rsidRPr="009C2421">
        <w:rPr>
          <w:color w:val="231F20"/>
          <w:sz w:val="22"/>
        </w:rPr>
        <w:t xml:space="preserve">При расчете ИРГФ (а также ПРВЖ) </w:t>
      </w:r>
      <w:r w:rsidRPr="009C2421">
        <w:rPr>
          <w:color w:val="000000"/>
          <w:sz w:val="22"/>
        </w:rPr>
        <w:t>в случае, когда доля мужчин и женщин примерно</w:t>
      </w:r>
      <w:r w:rsidR="00462870" w:rsidRPr="009C2421">
        <w:rPr>
          <w:color w:val="000000"/>
          <w:sz w:val="22"/>
        </w:rPr>
        <w:t xml:space="preserve"> </w:t>
      </w:r>
      <w:r w:rsidRPr="009C2421">
        <w:rPr>
          <w:color w:val="000000"/>
          <w:sz w:val="22"/>
        </w:rPr>
        <w:t>одинакова и равна 50%</w:t>
      </w:r>
      <w:r w:rsidR="000A792E" w:rsidRPr="009C2421">
        <w:rPr>
          <w:color w:val="000000"/>
          <w:sz w:val="22"/>
        </w:rPr>
        <w:t>,</w:t>
      </w:r>
      <w:r w:rsidRPr="009C2421">
        <w:rPr>
          <w:color w:val="000000"/>
          <w:sz w:val="22"/>
        </w:rPr>
        <w:t xml:space="preserve"> величина </w:t>
      </w:r>
      <w:r w:rsidRPr="009C2421">
        <w:rPr>
          <w:color w:val="000000"/>
          <w:sz w:val="22"/>
          <w:lang w:val="en-US"/>
        </w:rPr>
        <w:t>z</w:t>
      </w:r>
      <w:r w:rsidRPr="009C2421">
        <w:rPr>
          <w:i/>
          <w:iCs/>
          <w:color w:val="000000"/>
          <w:sz w:val="22"/>
        </w:rPr>
        <w:t xml:space="preserve"> </w:t>
      </w:r>
      <w:r w:rsidRPr="009C2421">
        <w:rPr>
          <w:color w:val="000000"/>
          <w:sz w:val="22"/>
        </w:rPr>
        <w:t>принимается равной 2</w:t>
      </w:r>
      <w:r w:rsidRPr="006A5551">
        <w:rPr>
          <w:color w:val="000000"/>
          <w:sz w:val="22"/>
        </w:rPr>
        <w:t>. Формула расчета равномерно распределенного индекса изменяется следующим образом:</w:t>
      </w:r>
      <w:r w:rsidR="00D70544">
        <w:rPr>
          <w:color w:val="000000"/>
          <w:sz w:val="22"/>
        </w:rPr>
        <w:t xml:space="preserve"> </w:t>
      </w:r>
    </w:p>
    <w:p w:rsidR="006A5551" w:rsidRPr="006A5551" w:rsidRDefault="006A5551" w:rsidP="006A5551">
      <w:pPr>
        <w:autoSpaceDE w:val="0"/>
        <w:autoSpaceDN w:val="0"/>
        <w:adjustRightInd w:val="0"/>
        <w:spacing w:before="100" w:after="0" w:line="240" w:lineRule="auto"/>
        <w:rPr>
          <w:color w:val="000000"/>
          <w:sz w:val="22"/>
        </w:rPr>
      </w:pPr>
      <w:r w:rsidRPr="006A5551">
        <w:rPr>
          <w:color w:val="000000"/>
          <w:position w:val="-24"/>
          <w:sz w:val="22"/>
        </w:rPr>
        <w:object w:dxaOrig="2540" w:dyaOrig="620">
          <v:shape id="_x0000_i1042" type="#_x0000_t75" style="width:127pt;height:31pt" o:ole="">
            <v:imagedata r:id="rId41" o:title=""/>
          </v:shape>
          <o:OLEObject Type="Embed" ProgID="Equation.DSMT4" ShapeID="_x0000_i1042" DrawAspect="Content" ObjectID="_1363103623" r:id="rId42"/>
        </w:object>
      </w:r>
      <w:r w:rsidRPr="006A5551">
        <w:rPr>
          <w:color w:val="000000"/>
          <w:sz w:val="22"/>
        </w:rPr>
        <w:t>.</w:t>
      </w:r>
    </w:p>
    <w:p w:rsidR="006A5551" w:rsidRPr="006A5551" w:rsidRDefault="006A5551" w:rsidP="000A792E">
      <w:pPr>
        <w:autoSpaceDE w:val="0"/>
        <w:autoSpaceDN w:val="0"/>
        <w:adjustRightInd w:val="0"/>
        <w:spacing w:before="100" w:after="0" w:line="240" w:lineRule="auto"/>
        <w:jc w:val="both"/>
        <w:rPr>
          <w:color w:val="000000"/>
          <w:sz w:val="22"/>
        </w:rPr>
      </w:pPr>
      <w:r w:rsidRPr="006A5551">
        <w:rPr>
          <w:color w:val="000000"/>
          <w:sz w:val="22"/>
        </w:rPr>
        <w:t xml:space="preserve">При расчете индекса ожидаемой продолжительности жизни в качестве минимального значения для обоих полов было взято не 25 </w:t>
      </w:r>
      <w:r w:rsidR="000A792E">
        <w:rPr>
          <w:color w:val="000000"/>
          <w:sz w:val="22"/>
        </w:rPr>
        <w:t>лет</w:t>
      </w:r>
      <w:r w:rsidRPr="006A5551">
        <w:rPr>
          <w:color w:val="000000"/>
          <w:sz w:val="22"/>
        </w:rPr>
        <w:t>, как это установлено в глобальных докладах</w:t>
      </w:r>
      <w:r w:rsidR="00D70544">
        <w:rPr>
          <w:color w:val="000000"/>
          <w:sz w:val="22"/>
        </w:rPr>
        <w:t>,</w:t>
      </w:r>
      <w:r w:rsidRPr="006A5551">
        <w:rPr>
          <w:color w:val="000000"/>
          <w:sz w:val="22"/>
        </w:rPr>
        <w:t xml:space="preserve"> а 40 лет, что более реалистично для Узбекистана. Максимальное среднее значение было сохранено на уровне 85 лет. Тогда с учетом принятого в расчетах индексов пятилетнего разрыва в ожидаемой продолжительности женщин и мужчин будут установлены следующие «планки»: для женщин</w:t>
      </w:r>
      <w:r w:rsidR="000A792E">
        <w:rPr>
          <w:color w:val="000000"/>
          <w:sz w:val="22"/>
        </w:rPr>
        <w:t xml:space="preserve"> -</w:t>
      </w:r>
      <w:r w:rsidRPr="006A5551">
        <w:rPr>
          <w:color w:val="000000"/>
          <w:sz w:val="22"/>
        </w:rPr>
        <w:t xml:space="preserve"> минимум 42,5 года, максимум – 87,5 года, для мужчин: минимум</w:t>
      </w:r>
      <w:r w:rsidR="000A792E">
        <w:rPr>
          <w:color w:val="000000"/>
          <w:sz w:val="22"/>
        </w:rPr>
        <w:t xml:space="preserve"> </w:t>
      </w:r>
      <w:r w:rsidRPr="006A5551">
        <w:rPr>
          <w:color w:val="000000"/>
          <w:sz w:val="22"/>
        </w:rPr>
        <w:t>- 37,5 года, максимум – 82,5 года.</w:t>
      </w:r>
    </w:p>
    <w:p w:rsidR="006A5551" w:rsidRPr="006A5551" w:rsidRDefault="006A5551" w:rsidP="000A792E">
      <w:pPr>
        <w:autoSpaceDE w:val="0"/>
        <w:autoSpaceDN w:val="0"/>
        <w:adjustRightInd w:val="0"/>
        <w:spacing w:before="100" w:after="0" w:line="240" w:lineRule="auto"/>
        <w:jc w:val="both"/>
        <w:rPr>
          <w:color w:val="000000"/>
          <w:sz w:val="22"/>
        </w:rPr>
      </w:pPr>
      <w:r w:rsidRPr="006A5551">
        <w:rPr>
          <w:color w:val="000000"/>
          <w:sz w:val="22"/>
        </w:rPr>
        <w:t xml:space="preserve">В соответствии с концепцией человеческого развития жизнь должна быть не только долгой, но и здоровой. Особое внимание в развивающихся странах ПРООН уделяет борьбе с инфекционными заболеваниями, в частности с туберкулезом и малярией. Сокращение заболеваемости этими болезнями входит и в состав национальных </w:t>
      </w:r>
      <w:r w:rsidR="000A792E">
        <w:rPr>
          <w:color w:val="000000"/>
          <w:sz w:val="22"/>
        </w:rPr>
        <w:t>Ц</w:t>
      </w:r>
      <w:r w:rsidRPr="006A5551">
        <w:rPr>
          <w:color w:val="000000"/>
          <w:sz w:val="22"/>
        </w:rPr>
        <w:t xml:space="preserve">елей развития тысячелетия в Узбекистане. Заболеваемость малярией в Узбекистане носит преимущественно локальный характер, случаи этой болезни отмечаются в приграничной с Афганистаном Сурхандарьинской области. В остальных регионах – это единичные случаи, связанные с заносом инфекции извне. Поэтому нет смысла сравнивать регионы по уровню заболеваемости малярией. </w:t>
      </w:r>
    </w:p>
    <w:p w:rsidR="006A5551" w:rsidRPr="006A5551" w:rsidRDefault="006A5551" w:rsidP="000A792E">
      <w:pPr>
        <w:autoSpaceDE w:val="0"/>
        <w:autoSpaceDN w:val="0"/>
        <w:adjustRightInd w:val="0"/>
        <w:spacing w:before="100" w:after="0" w:line="240" w:lineRule="auto"/>
        <w:jc w:val="both"/>
        <w:rPr>
          <w:color w:val="000000"/>
          <w:sz w:val="22"/>
        </w:rPr>
      </w:pPr>
      <w:r w:rsidRPr="006A5551">
        <w:rPr>
          <w:color w:val="000000"/>
          <w:sz w:val="22"/>
        </w:rPr>
        <w:t>В национальных ЦРТ предусматривается остановить распространение туберкулеза и положить начало тенденции к снижению заболеваемости им. В начале 2000-х</w:t>
      </w:r>
      <w:r w:rsidR="000A792E">
        <w:rPr>
          <w:color w:val="000000"/>
          <w:sz w:val="22"/>
        </w:rPr>
        <w:t xml:space="preserve"> </w:t>
      </w:r>
      <w:r w:rsidRPr="006A5551">
        <w:rPr>
          <w:color w:val="000000"/>
          <w:sz w:val="22"/>
        </w:rPr>
        <w:t>годов во многи</w:t>
      </w:r>
      <w:r w:rsidR="000A792E">
        <w:rPr>
          <w:color w:val="000000"/>
          <w:sz w:val="22"/>
        </w:rPr>
        <w:t>х</w:t>
      </w:r>
      <w:r w:rsidRPr="006A5551">
        <w:rPr>
          <w:color w:val="000000"/>
          <w:sz w:val="22"/>
        </w:rPr>
        <w:t xml:space="preserve"> регионах положение с заболеваемостью туберкулезом было достаточно серьезным, она даже превышала 300 случаев на 100 тыс. населения (именно это значение взято в качестве максимума, от которого следует уйти). В наиболее благополучных регионах уровень заболеваемости активным туберкулезом составлял 60 случаев на 100 тыс. населения. Предполагается, что даже эти </w:t>
      </w:r>
      <w:r w:rsidR="000A792E">
        <w:rPr>
          <w:color w:val="000000"/>
          <w:sz w:val="22"/>
        </w:rPr>
        <w:t>л</w:t>
      </w:r>
      <w:r w:rsidRPr="006A5551">
        <w:rPr>
          <w:color w:val="000000"/>
          <w:sz w:val="22"/>
        </w:rPr>
        <w:t>учшие регионы должны стремиться снизить заболеваемость в ближайшие годы как минимум вдвое. Поэтому минимальный уровень установлен в 30 случае</w:t>
      </w:r>
      <w:r w:rsidR="000A792E">
        <w:rPr>
          <w:color w:val="000000"/>
          <w:sz w:val="22"/>
        </w:rPr>
        <w:t>в на 100 тыс.  населения в год.</w:t>
      </w:r>
    </w:p>
    <w:p w:rsidR="006A5551" w:rsidRPr="006A5551" w:rsidRDefault="006A5551" w:rsidP="000A792E">
      <w:pPr>
        <w:autoSpaceDE w:val="0"/>
        <w:autoSpaceDN w:val="0"/>
        <w:adjustRightInd w:val="0"/>
        <w:spacing w:before="100" w:after="0" w:line="240" w:lineRule="auto"/>
        <w:jc w:val="both"/>
        <w:rPr>
          <w:color w:val="000000"/>
          <w:sz w:val="22"/>
        </w:rPr>
      </w:pPr>
      <w:r w:rsidRPr="006A5551">
        <w:rPr>
          <w:color w:val="000000"/>
          <w:sz w:val="22"/>
        </w:rPr>
        <w:t>Кроме туберкулеза значительную проблему во всех регионах страны представляют вирусные гепатиты. Наиболее распространенным среди них является гепатит А, но и заболеваемость гепатитами В и С в несколько раз превышает уровень развитых стран. Учит</w:t>
      </w:r>
      <w:r w:rsidR="000A792E">
        <w:rPr>
          <w:color w:val="000000"/>
          <w:sz w:val="22"/>
        </w:rPr>
        <w:t>ы</w:t>
      </w:r>
      <w:r w:rsidRPr="006A5551">
        <w:rPr>
          <w:color w:val="000000"/>
          <w:sz w:val="22"/>
        </w:rPr>
        <w:t>вая значительную распространенность гепатита А и показатели как худ</w:t>
      </w:r>
      <w:r w:rsidR="00D70544">
        <w:rPr>
          <w:color w:val="000000"/>
          <w:sz w:val="22"/>
        </w:rPr>
        <w:t>ш</w:t>
      </w:r>
      <w:r w:rsidRPr="006A5551">
        <w:rPr>
          <w:color w:val="000000"/>
          <w:sz w:val="22"/>
        </w:rPr>
        <w:t>их, так и лучших регионов по уровню заболеваем</w:t>
      </w:r>
      <w:r w:rsidR="000A792E">
        <w:rPr>
          <w:color w:val="000000"/>
          <w:sz w:val="22"/>
        </w:rPr>
        <w:t>о</w:t>
      </w:r>
      <w:r w:rsidRPr="006A5551">
        <w:rPr>
          <w:color w:val="000000"/>
          <w:sz w:val="22"/>
        </w:rPr>
        <w:t>сть</w:t>
      </w:r>
      <w:r w:rsidR="000A792E">
        <w:rPr>
          <w:color w:val="000000"/>
          <w:sz w:val="22"/>
        </w:rPr>
        <w:t>ю</w:t>
      </w:r>
      <w:r w:rsidRPr="006A5551">
        <w:rPr>
          <w:color w:val="000000"/>
          <w:sz w:val="22"/>
        </w:rPr>
        <w:t xml:space="preserve"> этой группой инфекционных заболеваний</w:t>
      </w:r>
      <w:r w:rsidR="00D70544">
        <w:rPr>
          <w:color w:val="000000"/>
          <w:sz w:val="22"/>
        </w:rPr>
        <w:t>,</w:t>
      </w:r>
      <w:r w:rsidRPr="006A5551">
        <w:rPr>
          <w:color w:val="000000"/>
          <w:sz w:val="22"/>
        </w:rPr>
        <w:t xml:space="preserve"> были установлены</w:t>
      </w:r>
      <w:r w:rsidR="000A792E">
        <w:rPr>
          <w:color w:val="000000"/>
          <w:sz w:val="22"/>
        </w:rPr>
        <w:t>:</w:t>
      </w:r>
      <w:r w:rsidRPr="006A5551">
        <w:rPr>
          <w:color w:val="000000"/>
          <w:sz w:val="22"/>
        </w:rPr>
        <w:t xml:space="preserve"> ма</w:t>
      </w:r>
      <w:r w:rsidR="000A792E">
        <w:rPr>
          <w:color w:val="000000"/>
          <w:sz w:val="22"/>
        </w:rPr>
        <w:t>к</w:t>
      </w:r>
      <w:r w:rsidRPr="006A5551">
        <w:rPr>
          <w:color w:val="000000"/>
          <w:sz w:val="22"/>
        </w:rPr>
        <w:t>симальный уровень 300, и минима</w:t>
      </w:r>
      <w:r w:rsidR="000A792E">
        <w:rPr>
          <w:color w:val="000000"/>
          <w:sz w:val="22"/>
        </w:rPr>
        <w:t>ль</w:t>
      </w:r>
      <w:r w:rsidRPr="006A5551">
        <w:rPr>
          <w:color w:val="000000"/>
          <w:sz w:val="22"/>
        </w:rPr>
        <w:t>ный -</w:t>
      </w:r>
      <w:r w:rsidR="000A792E">
        <w:rPr>
          <w:color w:val="000000"/>
          <w:sz w:val="22"/>
        </w:rPr>
        <w:t xml:space="preserve"> </w:t>
      </w:r>
      <w:r w:rsidRPr="006A5551">
        <w:rPr>
          <w:color w:val="000000"/>
          <w:sz w:val="22"/>
        </w:rPr>
        <w:t>30 случаев в расчете на 100 тыс. населения в год.</w:t>
      </w:r>
    </w:p>
    <w:p w:rsidR="006A5551" w:rsidRPr="006A5551" w:rsidRDefault="006A5551" w:rsidP="000A792E">
      <w:pPr>
        <w:autoSpaceDE w:val="0"/>
        <w:autoSpaceDN w:val="0"/>
        <w:adjustRightInd w:val="0"/>
        <w:spacing w:before="100" w:after="0" w:line="240" w:lineRule="auto"/>
        <w:jc w:val="both"/>
        <w:rPr>
          <w:color w:val="000000"/>
          <w:sz w:val="22"/>
        </w:rPr>
      </w:pPr>
      <w:r w:rsidRPr="006A5551">
        <w:rPr>
          <w:color w:val="000000"/>
          <w:sz w:val="22"/>
        </w:rPr>
        <w:t>Наконец, третий компонент индикатора заболеваемости – бактериальная дизентерия. Это инфекционное заболевание поражает чаще всего детей и уровень заболеваемости им характеризует уровень медицинского обслуживания и санитарное состояние в детских дошкольных учре</w:t>
      </w:r>
      <w:r w:rsidR="000A792E">
        <w:rPr>
          <w:color w:val="000000"/>
          <w:sz w:val="22"/>
        </w:rPr>
        <w:t>ж</w:t>
      </w:r>
      <w:r w:rsidRPr="006A5551">
        <w:rPr>
          <w:color w:val="000000"/>
          <w:sz w:val="22"/>
        </w:rPr>
        <w:t>дениях и общеобразовательных школах. При правильной организации медико-санитарного контроля заболеваемость этой инфекцией может быть практически сведена к нулю, что и отражает установленный минимум. Максимальное значение – 60 случаев на 100 тыс. населения – показатель неблагополучных по этому заболеванию регионов Узбекистана в начале десятилетия.</w:t>
      </w:r>
    </w:p>
    <w:p w:rsidR="006A5551" w:rsidRPr="006A5551" w:rsidRDefault="006A5551" w:rsidP="000A792E">
      <w:pPr>
        <w:autoSpaceDE w:val="0"/>
        <w:autoSpaceDN w:val="0"/>
        <w:adjustRightInd w:val="0"/>
        <w:spacing w:before="100" w:after="0" w:line="240" w:lineRule="auto"/>
        <w:jc w:val="both"/>
        <w:rPr>
          <w:color w:val="000000"/>
          <w:sz w:val="22"/>
        </w:rPr>
      </w:pPr>
      <w:r w:rsidRPr="006A5551">
        <w:rPr>
          <w:color w:val="000000"/>
          <w:sz w:val="22"/>
        </w:rPr>
        <w:lastRenderedPageBreak/>
        <w:t>Индекс здоровья представляет собой средневзвешенную ве</w:t>
      </w:r>
      <w:r w:rsidR="000A792E">
        <w:rPr>
          <w:color w:val="000000"/>
          <w:sz w:val="22"/>
        </w:rPr>
        <w:t>л</w:t>
      </w:r>
      <w:r w:rsidRPr="006A5551">
        <w:rPr>
          <w:color w:val="000000"/>
          <w:sz w:val="22"/>
        </w:rPr>
        <w:t>ичину показателя ожидаемой продолжительности жизни при рождении с учетом гендерного фактора и уровня заболеваемости инфекционными заболеваниями и рассчитывается по формуле:</w:t>
      </w:r>
    </w:p>
    <w:p w:rsidR="006A5551" w:rsidRPr="00FB4CFE" w:rsidRDefault="006A5551" w:rsidP="006A5551">
      <w:pPr>
        <w:spacing w:before="100" w:after="0" w:line="240" w:lineRule="auto"/>
        <w:jc w:val="both"/>
        <w:rPr>
          <w:sz w:val="22"/>
        </w:rPr>
      </w:pPr>
      <w:r w:rsidRPr="00FB4CFE">
        <w:rPr>
          <w:sz w:val="22"/>
        </w:rPr>
        <w:t>ИЗ=2/3*ОПЖГ+1/3*((ВГ+ТУБ+ДИЗ)/3),</w:t>
      </w:r>
    </w:p>
    <w:p w:rsidR="006A5551" w:rsidRPr="006A5551" w:rsidRDefault="00D70544" w:rsidP="006A5551">
      <w:pPr>
        <w:spacing w:before="100" w:after="0" w:line="240" w:lineRule="auto"/>
        <w:jc w:val="both"/>
        <w:rPr>
          <w:sz w:val="22"/>
        </w:rPr>
      </w:pPr>
      <w:r>
        <w:rPr>
          <w:sz w:val="22"/>
        </w:rPr>
        <w:t>г</w:t>
      </w:r>
      <w:r w:rsidR="006A5551" w:rsidRPr="006A5551">
        <w:rPr>
          <w:sz w:val="22"/>
        </w:rPr>
        <w:t>де: ОПЖГ – ожидаемая продолжительность жизни с учетом гендерного фактора; ВГ – заболеваемость вирусными гепатитами; ТУБ – заболеваемость активным туберкулезом; ДИЗ - заболеваемость бактериальной  дизентерией (все показатели заболеваемости взяты в расчете на 100 тыс. населения).</w:t>
      </w:r>
    </w:p>
    <w:p w:rsidR="006A5551" w:rsidRPr="006A5551" w:rsidRDefault="006A5551" w:rsidP="006A5551">
      <w:pPr>
        <w:spacing w:before="100" w:after="0" w:line="240" w:lineRule="auto"/>
        <w:jc w:val="both"/>
        <w:rPr>
          <w:sz w:val="22"/>
        </w:rPr>
      </w:pPr>
      <w:r w:rsidRPr="006A5551">
        <w:rPr>
          <w:sz w:val="22"/>
        </w:rPr>
        <w:t xml:space="preserve">Авторы считают показатель ожидаемой продолжительности жизни более важным, а потому он получил вес 2/3, в то время как уровень заболеваемости – только 1/3. </w:t>
      </w:r>
    </w:p>
    <w:p w:rsidR="00C21D01" w:rsidRDefault="006A5551" w:rsidP="00C21D01">
      <w:pPr>
        <w:spacing w:before="100" w:after="0" w:line="240" w:lineRule="auto"/>
        <w:jc w:val="both"/>
        <w:rPr>
          <w:sz w:val="22"/>
        </w:rPr>
      </w:pPr>
      <w:r w:rsidRPr="000A792E">
        <w:rPr>
          <w:b/>
          <w:i/>
          <w:sz w:val="22"/>
        </w:rPr>
        <w:t>Индекс образования</w:t>
      </w:r>
      <w:r w:rsidRPr="006A5551">
        <w:rPr>
          <w:sz w:val="22"/>
        </w:rPr>
        <w:t>.</w:t>
      </w:r>
      <w:r w:rsidR="000A792E">
        <w:rPr>
          <w:sz w:val="22"/>
        </w:rPr>
        <w:t xml:space="preserve"> </w:t>
      </w:r>
      <w:r w:rsidRPr="006A5551">
        <w:rPr>
          <w:sz w:val="22"/>
        </w:rPr>
        <w:t>При разработке образовательного компонента авторы столкнулись с трудностью в</w:t>
      </w:r>
      <w:r w:rsidR="000A792E">
        <w:rPr>
          <w:sz w:val="22"/>
        </w:rPr>
        <w:t>ы</w:t>
      </w:r>
      <w:r w:rsidRPr="006A5551">
        <w:rPr>
          <w:sz w:val="22"/>
        </w:rPr>
        <w:t>бора показателей, которые характеризовали бы межрегиональные различия в уровне и качеств</w:t>
      </w:r>
      <w:r w:rsidRPr="00D70544">
        <w:rPr>
          <w:sz w:val="22"/>
        </w:rPr>
        <w:t xml:space="preserve">е образования. </w:t>
      </w:r>
      <w:r w:rsidR="00FF20C8" w:rsidRPr="00D70544">
        <w:rPr>
          <w:sz w:val="22"/>
        </w:rPr>
        <w:t>В международной пр</w:t>
      </w:r>
      <w:r w:rsidR="00FF20C8" w:rsidRPr="004C266D">
        <w:rPr>
          <w:sz w:val="22"/>
        </w:rPr>
        <w:t>актике изучения уровня человеческого развития для характеристики образовательного уровня населения используются такие показатели, как уровень грамотности взрослого населения и населения в возрасте 16-24 лет, охват контингентов населения соответствующих возрастов образовательными учреждениями от дошкольного до высшего, число лет обучения. Для Узбекистана многие из этих показателей не являются актуальными. Поскольку в стране обязательно 12 летнее среднее образование (включая трехгодичное специальное/профессиональное образование), уровень грамотности населения близок к 100% и не отличается от уровня развитых стран. Все, кто в принципе способен учиться по своим физическим и умственным способностям, обучаются в обязательном порядке. Соответственно и охват всеми ступенями образования, кроме дошкольного и высшего, также приближается к 100% соответствующих контингентов населения. Различие в числе лет обучения определяется способностью получить высшее образование, которая не зависит прямо от региона проживания молодых людей, поскольку они имеют право поступить в ВУЗ в любом регионе страны.</w:t>
      </w:r>
      <w:r w:rsidR="00C21D01">
        <w:rPr>
          <w:sz w:val="22"/>
        </w:rPr>
        <w:t xml:space="preserve"> </w:t>
      </w:r>
      <w:r w:rsidR="00C21D01">
        <w:rPr>
          <w:rFonts w:eastAsia="Times New Roman"/>
          <w:sz w:val="22"/>
          <w:lang w:eastAsia="ru-RU"/>
        </w:rPr>
        <w:t>Р</w:t>
      </w:r>
      <w:r w:rsidR="004C266D" w:rsidRPr="004C266D">
        <w:rPr>
          <w:sz w:val="22"/>
        </w:rPr>
        <w:t xml:space="preserve">егиональное неравенство может проявляться в неодинаковом качестве образования, </w:t>
      </w:r>
      <w:r w:rsidR="00C21D01">
        <w:rPr>
          <w:sz w:val="22"/>
        </w:rPr>
        <w:t>но соответствующие результатирующие показатели отсутствуют.</w:t>
      </w:r>
    </w:p>
    <w:p w:rsidR="004C266D" w:rsidRPr="004C266D" w:rsidRDefault="004C266D" w:rsidP="004C266D">
      <w:pPr>
        <w:pStyle w:val="a4"/>
        <w:spacing w:beforeAutospacing="0" w:after="0" w:afterAutospacing="0"/>
        <w:jc w:val="both"/>
        <w:rPr>
          <w:sz w:val="22"/>
          <w:szCs w:val="22"/>
        </w:rPr>
      </w:pPr>
      <w:r w:rsidRPr="004C266D">
        <w:rPr>
          <w:sz w:val="22"/>
          <w:szCs w:val="22"/>
        </w:rPr>
        <w:t xml:space="preserve">Из сказанного можно сделать вывод, что показатели, обычно используемые для характеристики образовательного компонента развития человеческого потенциала, не могут быть использованы для характеристики межрегиональных различий в уровне и качестве образования в Узбекистане. При разработке индекса для сравнения уровня образования в регионах преимущество было отдано показателям, </w:t>
      </w:r>
      <w:r w:rsidR="00C21D01">
        <w:rPr>
          <w:sz w:val="22"/>
          <w:szCs w:val="22"/>
        </w:rPr>
        <w:t>влияющим на</w:t>
      </w:r>
      <w:r w:rsidRPr="004C266D">
        <w:rPr>
          <w:sz w:val="22"/>
          <w:szCs w:val="22"/>
        </w:rPr>
        <w:t xml:space="preserve"> качество преподавания и возможности генерирования новых знаний. </w:t>
      </w:r>
    </w:p>
    <w:p w:rsidR="006A5551" w:rsidRPr="006A5551" w:rsidRDefault="006A5551" w:rsidP="004C266D">
      <w:pPr>
        <w:spacing w:before="100" w:after="0" w:line="240" w:lineRule="auto"/>
        <w:jc w:val="both"/>
        <w:rPr>
          <w:sz w:val="22"/>
        </w:rPr>
      </w:pPr>
      <w:r w:rsidRPr="004C266D">
        <w:rPr>
          <w:sz w:val="22"/>
        </w:rPr>
        <w:t>Поскольку среднее образование (в том чис</w:t>
      </w:r>
      <w:r w:rsidRPr="006A5551">
        <w:rPr>
          <w:sz w:val="22"/>
        </w:rPr>
        <w:t xml:space="preserve">ле и </w:t>
      </w:r>
      <w:r w:rsidR="000A792E">
        <w:rPr>
          <w:sz w:val="22"/>
        </w:rPr>
        <w:t xml:space="preserve">среднее </w:t>
      </w:r>
      <w:r w:rsidRPr="006A5551">
        <w:rPr>
          <w:sz w:val="22"/>
        </w:rPr>
        <w:t xml:space="preserve">специальное) является обязательным, </w:t>
      </w:r>
      <w:r w:rsidR="004C266D">
        <w:rPr>
          <w:sz w:val="22"/>
        </w:rPr>
        <w:t xml:space="preserve">межрегиональные </w:t>
      </w:r>
      <w:r w:rsidRPr="006A5551">
        <w:rPr>
          <w:sz w:val="22"/>
        </w:rPr>
        <w:t>различия могут з</w:t>
      </w:r>
      <w:r w:rsidR="000A792E">
        <w:rPr>
          <w:sz w:val="22"/>
        </w:rPr>
        <w:t xml:space="preserve">аключаться только в </w:t>
      </w:r>
      <w:r w:rsidR="00012F6E" w:rsidRPr="004C266D">
        <w:rPr>
          <w:sz w:val="22"/>
        </w:rPr>
        <w:t>том, что жители регионов, где в основном сконцентрированы высшие учебные заведения</w:t>
      </w:r>
      <w:r w:rsidR="00012F6E">
        <w:rPr>
          <w:sz w:val="22"/>
        </w:rPr>
        <w:t>,</w:t>
      </w:r>
      <w:r w:rsidR="00012F6E" w:rsidRPr="004C266D">
        <w:rPr>
          <w:sz w:val="22"/>
        </w:rPr>
        <w:t xml:space="preserve"> имеют большие возможности для поступления, так как несут меньшие затраты времени и средств, связанные с процессом выбора ВУЗа и подготовки к поступлению.</w:t>
      </w:r>
      <w:r w:rsidRPr="006A5551">
        <w:rPr>
          <w:sz w:val="22"/>
        </w:rPr>
        <w:t xml:space="preserve"> Поэтому из всех опубликованных показателей уровня грамотности был взят только показатель «доля населения ста</w:t>
      </w:r>
      <w:r w:rsidR="000A792E">
        <w:rPr>
          <w:sz w:val="22"/>
        </w:rPr>
        <w:t>р</w:t>
      </w:r>
      <w:r w:rsidRPr="006A5551">
        <w:rPr>
          <w:sz w:val="22"/>
        </w:rPr>
        <w:t>ше 25 лет, имеющего высшее образование в общей численности населения». Прослойка населения с высшим образованием имеется во всех регионах страны, но по этому показателю имеется значительный разрыв. Если в Ташкенте число имеющих дипломы об окончании ВУЗа составляет около 30%, то в некоторых регионах эта доля составляет 7-8%. С учетом этого были установлены и максимальное и минимальное значение для показателя: максимальное -</w:t>
      </w:r>
      <w:r w:rsidR="008339CC">
        <w:rPr>
          <w:sz w:val="22"/>
        </w:rPr>
        <w:t xml:space="preserve"> </w:t>
      </w:r>
      <w:r w:rsidRPr="006A5551">
        <w:rPr>
          <w:sz w:val="22"/>
        </w:rPr>
        <w:t>34%, что означает, что каждый третий житель региона имеет высшее образование, минимальное – 5%, что, соответственно</w:t>
      </w:r>
      <w:r w:rsidR="008339CC">
        <w:rPr>
          <w:sz w:val="22"/>
        </w:rPr>
        <w:t>,</w:t>
      </w:r>
      <w:r w:rsidRPr="006A5551">
        <w:rPr>
          <w:sz w:val="22"/>
        </w:rPr>
        <w:t xml:space="preserve"> </w:t>
      </w:r>
      <w:r w:rsidR="008339CC">
        <w:rPr>
          <w:sz w:val="22"/>
        </w:rPr>
        <w:t xml:space="preserve">демонстрирует </w:t>
      </w:r>
      <w:r w:rsidRPr="006A5551">
        <w:rPr>
          <w:sz w:val="22"/>
        </w:rPr>
        <w:t>наличие высшего образования только у одного из 20 жителей региона. Этот разброс отражает реально сложившиеся контрасты по распространенности высшего образования в регионах страны.</w:t>
      </w:r>
    </w:p>
    <w:p w:rsidR="006A5551" w:rsidRPr="006A5551" w:rsidRDefault="006A5551" w:rsidP="006A5551">
      <w:pPr>
        <w:spacing w:before="100" w:after="0" w:line="240" w:lineRule="auto"/>
        <w:jc w:val="both"/>
        <w:rPr>
          <w:sz w:val="22"/>
        </w:rPr>
      </w:pPr>
      <w:r w:rsidRPr="006A5551">
        <w:rPr>
          <w:sz w:val="22"/>
        </w:rPr>
        <w:t xml:space="preserve">Качество образования в решающей степени зависит от </w:t>
      </w:r>
      <w:r w:rsidR="008339CC">
        <w:rPr>
          <w:sz w:val="22"/>
        </w:rPr>
        <w:t>у</w:t>
      </w:r>
      <w:r w:rsidRPr="006A5551">
        <w:rPr>
          <w:sz w:val="22"/>
        </w:rPr>
        <w:t>ровня ква</w:t>
      </w:r>
      <w:r w:rsidR="008339CC">
        <w:rPr>
          <w:sz w:val="22"/>
        </w:rPr>
        <w:t>л</w:t>
      </w:r>
      <w:r w:rsidRPr="006A5551">
        <w:rPr>
          <w:sz w:val="22"/>
        </w:rPr>
        <w:t>ификации преподавателей. Поэтому для его отра</w:t>
      </w:r>
      <w:r w:rsidR="008339CC">
        <w:rPr>
          <w:sz w:val="22"/>
        </w:rPr>
        <w:t>ж</w:t>
      </w:r>
      <w:r w:rsidRPr="006A5551">
        <w:rPr>
          <w:sz w:val="22"/>
        </w:rPr>
        <w:t>ения был введен отдельный индикатор, состоящий из трех первичных показателей:</w:t>
      </w:r>
    </w:p>
    <w:p w:rsidR="006A5551" w:rsidRPr="006A5551" w:rsidRDefault="006A5551" w:rsidP="006A5551">
      <w:pPr>
        <w:pStyle w:val="a4"/>
        <w:numPr>
          <w:ilvl w:val="0"/>
          <w:numId w:val="1"/>
        </w:numPr>
        <w:spacing w:beforeAutospacing="0" w:after="0" w:afterAutospacing="0"/>
        <w:ind w:left="0" w:firstLine="0"/>
        <w:jc w:val="both"/>
        <w:rPr>
          <w:sz w:val="22"/>
          <w:szCs w:val="22"/>
        </w:rPr>
      </w:pPr>
      <w:r w:rsidRPr="006A5551">
        <w:rPr>
          <w:sz w:val="22"/>
          <w:szCs w:val="22"/>
        </w:rPr>
        <w:t>доля преподавателей с высшим образованием в общеобразовательных школах;</w:t>
      </w:r>
    </w:p>
    <w:p w:rsidR="006A5551" w:rsidRPr="006A5551" w:rsidRDefault="006A5551" w:rsidP="006A5551">
      <w:pPr>
        <w:pStyle w:val="a4"/>
        <w:numPr>
          <w:ilvl w:val="0"/>
          <w:numId w:val="1"/>
        </w:numPr>
        <w:spacing w:beforeAutospacing="0" w:after="0" w:afterAutospacing="0"/>
        <w:ind w:left="0" w:firstLine="0"/>
        <w:jc w:val="both"/>
        <w:rPr>
          <w:sz w:val="22"/>
          <w:szCs w:val="22"/>
        </w:rPr>
      </w:pPr>
      <w:r w:rsidRPr="006A5551">
        <w:rPr>
          <w:sz w:val="22"/>
          <w:szCs w:val="22"/>
        </w:rPr>
        <w:t>доля преподавателей с высшим образованием в средних специальных профессиональных учебных заведениях;</w:t>
      </w:r>
    </w:p>
    <w:p w:rsidR="006A5551" w:rsidRPr="006A5551" w:rsidRDefault="006A5551" w:rsidP="006A5551">
      <w:pPr>
        <w:pStyle w:val="a4"/>
        <w:numPr>
          <w:ilvl w:val="0"/>
          <w:numId w:val="1"/>
        </w:numPr>
        <w:spacing w:beforeAutospacing="0" w:after="0" w:afterAutospacing="0"/>
        <w:ind w:left="0" w:firstLine="0"/>
        <w:jc w:val="both"/>
        <w:rPr>
          <w:sz w:val="22"/>
          <w:szCs w:val="22"/>
        </w:rPr>
      </w:pPr>
      <w:r w:rsidRPr="006A5551">
        <w:rPr>
          <w:sz w:val="22"/>
          <w:szCs w:val="22"/>
        </w:rPr>
        <w:t>доля преподавателей вузов, имеющих ученые степени.</w:t>
      </w:r>
    </w:p>
    <w:p w:rsidR="006A5551" w:rsidRPr="006A5551" w:rsidRDefault="006A5551" w:rsidP="006A5551">
      <w:pPr>
        <w:spacing w:before="100" w:after="0" w:line="240" w:lineRule="auto"/>
        <w:jc w:val="both"/>
        <w:rPr>
          <w:sz w:val="22"/>
        </w:rPr>
      </w:pPr>
      <w:r w:rsidRPr="006A5551">
        <w:rPr>
          <w:sz w:val="22"/>
        </w:rPr>
        <w:lastRenderedPageBreak/>
        <w:t>Индикатор рассчитывается как среднее арифметическое простое из стандартизированных значений этих показателей</w:t>
      </w:r>
      <w:r w:rsidR="00012F6E">
        <w:rPr>
          <w:sz w:val="22"/>
        </w:rPr>
        <w:t>:</w:t>
      </w:r>
      <w:r w:rsidRPr="006A5551">
        <w:rPr>
          <w:sz w:val="22"/>
        </w:rPr>
        <w:t xml:space="preserve"> </w:t>
      </w:r>
    </w:p>
    <w:p w:rsidR="006A5551" w:rsidRPr="006A5551" w:rsidRDefault="006A5551" w:rsidP="006A5551">
      <w:pPr>
        <w:spacing w:before="100" w:after="0" w:line="240" w:lineRule="auto"/>
        <w:jc w:val="both"/>
        <w:rPr>
          <w:sz w:val="22"/>
        </w:rPr>
      </w:pPr>
      <w:r w:rsidRPr="006A5551">
        <w:rPr>
          <w:sz w:val="22"/>
        </w:rPr>
        <w:t>УКП=(ВОУ+ВОСС</w:t>
      </w:r>
      <w:r w:rsidR="008339CC">
        <w:rPr>
          <w:sz w:val="22"/>
        </w:rPr>
        <w:t>П</w:t>
      </w:r>
      <w:r w:rsidRPr="006A5551">
        <w:rPr>
          <w:sz w:val="22"/>
        </w:rPr>
        <w:t>УЗ+СТВУЗ)/3</w:t>
      </w:r>
      <w:r w:rsidR="00D70544">
        <w:rPr>
          <w:sz w:val="22"/>
        </w:rPr>
        <w:t>,</w:t>
      </w:r>
    </w:p>
    <w:p w:rsidR="006A5551" w:rsidRPr="006A5551" w:rsidRDefault="00D70544" w:rsidP="006A5551">
      <w:pPr>
        <w:spacing w:before="100" w:after="0" w:line="240" w:lineRule="auto"/>
        <w:jc w:val="both"/>
        <w:rPr>
          <w:sz w:val="22"/>
        </w:rPr>
      </w:pPr>
      <w:r>
        <w:rPr>
          <w:sz w:val="22"/>
        </w:rPr>
        <w:t>г</w:t>
      </w:r>
      <w:r w:rsidR="006A5551" w:rsidRPr="006A5551">
        <w:rPr>
          <w:sz w:val="22"/>
        </w:rPr>
        <w:t>де: УКП – индикатор уровня квалификации преподавателей, ВОУ</w:t>
      </w:r>
      <w:r w:rsidR="008339CC">
        <w:rPr>
          <w:sz w:val="22"/>
        </w:rPr>
        <w:t xml:space="preserve"> </w:t>
      </w:r>
      <w:r w:rsidR="006A5551" w:rsidRPr="006A5551">
        <w:rPr>
          <w:sz w:val="22"/>
        </w:rPr>
        <w:t>- доля учителей с высшим образованием в общеобразовательных школах, ВОССПУЗ</w:t>
      </w:r>
      <w:r w:rsidR="008339CC">
        <w:rPr>
          <w:sz w:val="22"/>
        </w:rPr>
        <w:t xml:space="preserve"> </w:t>
      </w:r>
      <w:r w:rsidR="006A5551" w:rsidRPr="006A5551">
        <w:rPr>
          <w:sz w:val="22"/>
        </w:rPr>
        <w:t>- доля преподавателей средних специальных/профессиональных учебных заведений с высшим образованием, СТВУЗ- доля преподавателей ВУЗов, имеющих ученые степени.</w:t>
      </w:r>
    </w:p>
    <w:p w:rsidR="006A5551" w:rsidRPr="006A5551" w:rsidRDefault="006A5551" w:rsidP="006A5551">
      <w:pPr>
        <w:spacing w:before="100" w:after="0" w:line="240" w:lineRule="auto"/>
        <w:jc w:val="both"/>
        <w:rPr>
          <w:sz w:val="22"/>
        </w:rPr>
      </w:pPr>
      <w:r w:rsidRPr="006A5551">
        <w:rPr>
          <w:sz w:val="22"/>
        </w:rPr>
        <w:t>Для показателей доли преподавателей с высшим образованием как в общеобразовательных, так и в профессиональных образовательных учреждениях было установлено минимальное значение 50%, максимальное значение – 100%. Такой уровень максимума связан с проводимой в настоящее время политикой, направленной на то, чтобы все преподаватели в образовательных учреждениях, кроме дошкольных, имели высшее образование.</w:t>
      </w:r>
    </w:p>
    <w:p w:rsidR="006A5551" w:rsidRPr="006A5551" w:rsidRDefault="006A5551" w:rsidP="006A5551">
      <w:pPr>
        <w:spacing w:before="100" w:after="0" w:line="240" w:lineRule="auto"/>
        <w:jc w:val="both"/>
        <w:rPr>
          <w:sz w:val="22"/>
        </w:rPr>
      </w:pPr>
      <w:r w:rsidRPr="006A5551">
        <w:rPr>
          <w:sz w:val="22"/>
        </w:rPr>
        <w:t xml:space="preserve">Доля профессорско-преподавательского состава </w:t>
      </w:r>
      <w:r w:rsidR="008339CC">
        <w:rPr>
          <w:sz w:val="22"/>
        </w:rPr>
        <w:t>вуз</w:t>
      </w:r>
      <w:r w:rsidRPr="006A5551">
        <w:rPr>
          <w:sz w:val="22"/>
        </w:rPr>
        <w:t xml:space="preserve">ов с учеными степенями в некоторых регионах, например, Самаркандской и Кашкадарьинской областях приближается </w:t>
      </w:r>
      <w:r w:rsidR="008339CC">
        <w:rPr>
          <w:sz w:val="22"/>
        </w:rPr>
        <w:t>к</w:t>
      </w:r>
      <w:r w:rsidRPr="006A5551">
        <w:rPr>
          <w:sz w:val="22"/>
        </w:rPr>
        <w:t xml:space="preserve"> 50%. Вполне возможно, что в ближайшие годы она достигнет 60%. Это значение и принято в качестве максимального. За минимальное значение принято 10% преподавателей с ученой степенью в общей численности преподавателей ВУЗов региона. Представить себе постоянно де</w:t>
      </w:r>
      <w:r w:rsidR="008339CC">
        <w:rPr>
          <w:sz w:val="22"/>
        </w:rPr>
        <w:t>й</w:t>
      </w:r>
      <w:r w:rsidRPr="006A5551">
        <w:rPr>
          <w:sz w:val="22"/>
        </w:rPr>
        <w:t xml:space="preserve">ствующий </w:t>
      </w:r>
      <w:r w:rsidR="008339CC">
        <w:rPr>
          <w:sz w:val="22"/>
        </w:rPr>
        <w:t>вуз</w:t>
      </w:r>
      <w:r w:rsidRPr="006A5551">
        <w:rPr>
          <w:sz w:val="22"/>
        </w:rPr>
        <w:t xml:space="preserve">, где на одного преподавателя с ученой степенью приходится 9 и более без степени, достаточно сложно. </w:t>
      </w:r>
    </w:p>
    <w:p w:rsidR="006A5551" w:rsidRPr="006A5551" w:rsidRDefault="006A5551" w:rsidP="006A5551">
      <w:pPr>
        <w:spacing w:before="100" w:after="0" w:line="240" w:lineRule="auto"/>
        <w:jc w:val="both"/>
        <w:rPr>
          <w:sz w:val="22"/>
        </w:rPr>
      </w:pPr>
      <w:r w:rsidRPr="006A5551">
        <w:rPr>
          <w:sz w:val="22"/>
        </w:rPr>
        <w:t>Сфера дошкольного воспитания – отдельная большая область образовательного сектора Узбекистана. Особенностью этого сектора является неравномерное распределение учреждений, неоднородность качества оказываемых услуг и в целом низкий охват детей дошкольного возраста образовательными учреждениями. Именно показатель охвата детей дошкольными учреждениями был взят в качестве индикатора развития дошкольного образования. В большинстве регионов Узбекистана тенденция к снижению охвата дошкольным воспитанием явно выражена. Можно представить ситуацию, при которой детей вообще не будут отдавать в детские сады, что и происходит во многих населенных пунктах, особенно</w:t>
      </w:r>
      <w:r w:rsidR="008339CC">
        <w:rPr>
          <w:sz w:val="22"/>
        </w:rPr>
        <w:t xml:space="preserve"> </w:t>
      </w:r>
      <w:r w:rsidRPr="006A5551">
        <w:rPr>
          <w:sz w:val="22"/>
        </w:rPr>
        <w:t>в сельской мес</w:t>
      </w:r>
      <w:r w:rsidR="008339CC">
        <w:rPr>
          <w:sz w:val="22"/>
        </w:rPr>
        <w:t>т</w:t>
      </w:r>
      <w:r w:rsidRPr="006A5551">
        <w:rPr>
          <w:sz w:val="22"/>
        </w:rPr>
        <w:t>ности. Тогда минимальное значение следует принять равным нулю. Максимальное значение исходит из того, что большинство детей, во всяком случае в возрасте 3-6 лет, получили бы пользу от посе</w:t>
      </w:r>
      <w:r w:rsidR="008339CC">
        <w:rPr>
          <w:sz w:val="22"/>
        </w:rPr>
        <w:t>щ</w:t>
      </w:r>
      <w:r w:rsidRPr="006A5551">
        <w:rPr>
          <w:sz w:val="22"/>
        </w:rPr>
        <w:t>ения до</w:t>
      </w:r>
      <w:r w:rsidR="008339CC">
        <w:rPr>
          <w:sz w:val="22"/>
        </w:rPr>
        <w:t>ш</w:t>
      </w:r>
      <w:r w:rsidRPr="006A5551">
        <w:rPr>
          <w:sz w:val="22"/>
        </w:rPr>
        <w:t>кольных у</w:t>
      </w:r>
      <w:r w:rsidR="008339CC">
        <w:rPr>
          <w:sz w:val="22"/>
        </w:rPr>
        <w:t>ч</w:t>
      </w:r>
      <w:r w:rsidRPr="006A5551">
        <w:rPr>
          <w:sz w:val="22"/>
        </w:rPr>
        <w:t>реждений. Кроме того, это позволило бы вовлечь в общест</w:t>
      </w:r>
      <w:r w:rsidR="008339CC">
        <w:rPr>
          <w:sz w:val="22"/>
        </w:rPr>
        <w:t>в</w:t>
      </w:r>
      <w:r w:rsidRPr="006A5551">
        <w:rPr>
          <w:sz w:val="22"/>
        </w:rPr>
        <w:t>енное производство женщин трудоспособного во</w:t>
      </w:r>
      <w:r w:rsidR="008339CC">
        <w:rPr>
          <w:sz w:val="22"/>
        </w:rPr>
        <w:t>з</w:t>
      </w:r>
      <w:r w:rsidRPr="006A5551">
        <w:rPr>
          <w:sz w:val="22"/>
        </w:rPr>
        <w:t>раста, занимающихся в настоящее время воспитанием детей. В то же время, следует учитывать наличие болезненных, ослабленных детей, на здоровье которых может неблагоприятно сказаться посещение дошкольных учреждений. С учетом этого, максимальное значение охвата детей дошкольным</w:t>
      </w:r>
      <w:r w:rsidR="008339CC">
        <w:rPr>
          <w:sz w:val="22"/>
        </w:rPr>
        <w:t>и</w:t>
      </w:r>
      <w:r w:rsidRPr="006A5551">
        <w:rPr>
          <w:sz w:val="22"/>
        </w:rPr>
        <w:t xml:space="preserve"> учреждениями принято на уровне 66%, т.е. 2/3 от численности детей в возрасте от 1 до 6 лет. </w:t>
      </w:r>
    </w:p>
    <w:p w:rsidR="006A5551" w:rsidRPr="006A5551" w:rsidRDefault="006A5551" w:rsidP="006A5551">
      <w:pPr>
        <w:pStyle w:val="a4"/>
        <w:spacing w:beforeAutospacing="0" w:after="0" w:afterAutospacing="0"/>
        <w:jc w:val="both"/>
        <w:rPr>
          <w:sz w:val="22"/>
          <w:szCs w:val="22"/>
        </w:rPr>
      </w:pPr>
      <w:r w:rsidRPr="006A5551">
        <w:rPr>
          <w:sz w:val="22"/>
          <w:szCs w:val="22"/>
        </w:rPr>
        <w:t xml:space="preserve">Образовательный индекс рассчитывался по формуле: </w:t>
      </w:r>
    </w:p>
    <w:p w:rsidR="006A5551" w:rsidRPr="006A5551" w:rsidRDefault="006A5551" w:rsidP="006A5551">
      <w:pPr>
        <w:pStyle w:val="a4"/>
        <w:spacing w:beforeAutospacing="0" w:after="0" w:afterAutospacing="0"/>
        <w:jc w:val="both"/>
        <w:rPr>
          <w:sz w:val="22"/>
          <w:szCs w:val="22"/>
        </w:rPr>
      </w:pPr>
      <w:r w:rsidRPr="006A5551">
        <w:rPr>
          <w:sz w:val="22"/>
          <w:szCs w:val="22"/>
        </w:rPr>
        <w:t>ИОБР =0,5*УКП+0,25*ВО +0,25*ДШК</w:t>
      </w:r>
    </w:p>
    <w:p w:rsidR="006A5551" w:rsidRPr="006A5551" w:rsidRDefault="006A5551" w:rsidP="006A5551">
      <w:pPr>
        <w:pStyle w:val="a4"/>
        <w:spacing w:beforeAutospacing="0" w:after="0" w:afterAutospacing="0"/>
        <w:jc w:val="both"/>
        <w:rPr>
          <w:sz w:val="22"/>
          <w:szCs w:val="22"/>
        </w:rPr>
      </w:pPr>
      <w:r w:rsidRPr="006A5551">
        <w:rPr>
          <w:sz w:val="22"/>
          <w:szCs w:val="22"/>
        </w:rPr>
        <w:t>Где: УКП - субиндекс уровня квалификации преподавателей, ВО – доля населения с высшим образованием, ДШК – охват детей в возрасте 1-6 лет дошкольными учреждениями.</w:t>
      </w:r>
    </w:p>
    <w:p w:rsidR="006A5551" w:rsidRPr="006A5551" w:rsidRDefault="006A5551" w:rsidP="006A5551">
      <w:pPr>
        <w:pStyle w:val="a4"/>
        <w:spacing w:beforeAutospacing="0" w:after="0" w:afterAutospacing="0"/>
        <w:jc w:val="both"/>
        <w:rPr>
          <w:sz w:val="22"/>
          <w:szCs w:val="22"/>
        </w:rPr>
      </w:pPr>
      <w:r w:rsidRPr="006A5551">
        <w:rPr>
          <w:sz w:val="22"/>
          <w:szCs w:val="22"/>
        </w:rPr>
        <w:t xml:space="preserve">Наибольший вес получил индикатор уровня квалификации преподавателей (50%), как важный показатель качества. Доля населения старше 25 лет с высшим образованием характеризует и качество человеческого капитала в регионе и его способность к инновационному развитию, но не является непосредственным результатом деятельности </w:t>
      </w:r>
      <w:r w:rsidR="008339CC">
        <w:rPr>
          <w:sz w:val="22"/>
          <w:szCs w:val="22"/>
        </w:rPr>
        <w:t>системы образования региона. Охва</w:t>
      </w:r>
      <w:r w:rsidRPr="006A5551">
        <w:rPr>
          <w:sz w:val="22"/>
          <w:szCs w:val="22"/>
        </w:rPr>
        <w:t xml:space="preserve">т детей дошкольными учреждениями характеризует доступ детей к образовательным услугам до школы, что важно с точки </w:t>
      </w:r>
      <w:r w:rsidR="008339CC">
        <w:rPr>
          <w:sz w:val="22"/>
          <w:szCs w:val="22"/>
        </w:rPr>
        <w:t>з</w:t>
      </w:r>
      <w:r w:rsidRPr="006A5551">
        <w:rPr>
          <w:sz w:val="22"/>
          <w:szCs w:val="22"/>
        </w:rPr>
        <w:t>рения их социализации, но не является характеристикой качества образования. Исходя из эт</w:t>
      </w:r>
      <w:r w:rsidR="0046663F">
        <w:rPr>
          <w:sz w:val="22"/>
          <w:szCs w:val="22"/>
        </w:rPr>
        <w:t>их соображений</w:t>
      </w:r>
      <w:r w:rsidRPr="006A5551">
        <w:rPr>
          <w:sz w:val="22"/>
          <w:szCs w:val="22"/>
        </w:rPr>
        <w:t xml:space="preserve"> два последние индикатора получили вес по 25%.</w:t>
      </w:r>
    </w:p>
    <w:p w:rsidR="006A5551" w:rsidRPr="006A5551" w:rsidRDefault="006A5551" w:rsidP="006A5551">
      <w:pPr>
        <w:pStyle w:val="a4"/>
        <w:spacing w:beforeAutospacing="0" w:after="0" w:afterAutospacing="0"/>
        <w:jc w:val="both"/>
        <w:rPr>
          <w:sz w:val="22"/>
          <w:szCs w:val="22"/>
        </w:rPr>
      </w:pPr>
      <w:r w:rsidRPr="008339CC">
        <w:rPr>
          <w:b/>
          <w:i/>
          <w:sz w:val="22"/>
          <w:szCs w:val="22"/>
        </w:rPr>
        <w:t>Индекс социальных болезней</w:t>
      </w:r>
      <w:r w:rsidRPr="008339CC">
        <w:rPr>
          <w:sz w:val="22"/>
          <w:szCs w:val="22"/>
        </w:rPr>
        <w:t>.</w:t>
      </w:r>
      <w:r w:rsidR="008339CC">
        <w:rPr>
          <w:sz w:val="22"/>
          <w:szCs w:val="22"/>
        </w:rPr>
        <w:t xml:space="preserve"> </w:t>
      </w:r>
      <w:r w:rsidRPr="006A5551">
        <w:rPr>
          <w:sz w:val="22"/>
          <w:szCs w:val="22"/>
        </w:rPr>
        <w:t>В этом индексе равное значение получили следующие четыре показателя:</w:t>
      </w:r>
    </w:p>
    <w:p w:rsidR="006A5551" w:rsidRPr="006A5551" w:rsidRDefault="006A5551" w:rsidP="006A5551">
      <w:pPr>
        <w:numPr>
          <w:ilvl w:val="0"/>
          <w:numId w:val="2"/>
        </w:numPr>
        <w:spacing w:before="100" w:after="0" w:line="240" w:lineRule="auto"/>
        <w:ind w:left="0" w:firstLine="0"/>
        <w:jc w:val="both"/>
        <w:rPr>
          <w:sz w:val="22"/>
        </w:rPr>
      </w:pPr>
      <w:r w:rsidRPr="006A5551">
        <w:rPr>
          <w:sz w:val="22"/>
        </w:rPr>
        <w:t>доля населения, находящегося ниже крайней черты бедности, в %;</w:t>
      </w:r>
    </w:p>
    <w:p w:rsidR="006A5551" w:rsidRPr="006A5551" w:rsidRDefault="006A5551" w:rsidP="006A5551">
      <w:pPr>
        <w:numPr>
          <w:ilvl w:val="0"/>
          <w:numId w:val="2"/>
        </w:numPr>
        <w:spacing w:before="100" w:after="0" w:line="240" w:lineRule="auto"/>
        <w:ind w:left="0" w:firstLine="0"/>
        <w:jc w:val="both"/>
        <w:rPr>
          <w:sz w:val="22"/>
        </w:rPr>
      </w:pPr>
      <w:r w:rsidRPr="006A5551">
        <w:rPr>
          <w:sz w:val="22"/>
        </w:rPr>
        <w:t>число зарегистрированных преступлений (на 1000 человек населения);</w:t>
      </w:r>
    </w:p>
    <w:p w:rsidR="006A5551" w:rsidRPr="006A5551" w:rsidRDefault="006A5551" w:rsidP="006A5551">
      <w:pPr>
        <w:numPr>
          <w:ilvl w:val="0"/>
          <w:numId w:val="2"/>
        </w:numPr>
        <w:spacing w:before="100" w:after="0" w:line="240" w:lineRule="auto"/>
        <w:ind w:left="0" w:firstLine="0"/>
        <w:jc w:val="both"/>
        <w:rPr>
          <w:sz w:val="22"/>
        </w:rPr>
      </w:pPr>
      <w:r w:rsidRPr="006A5551">
        <w:rPr>
          <w:sz w:val="22"/>
        </w:rPr>
        <w:t>заболеваемость наркологическими расстройствами, включая алкоголизм, с впервые установленным диагнозом (на 100 тыс. населения);</w:t>
      </w:r>
    </w:p>
    <w:p w:rsidR="006A5551" w:rsidRPr="006A5551" w:rsidRDefault="008339CC" w:rsidP="006A5551">
      <w:pPr>
        <w:numPr>
          <w:ilvl w:val="0"/>
          <w:numId w:val="2"/>
        </w:numPr>
        <w:spacing w:before="100" w:after="0" w:line="240" w:lineRule="auto"/>
        <w:ind w:left="0" w:firstLine="0"/>
        <w:jc w:val="both"/>
        <w:rPr>
          <w:sz w:val="22"/>
        </w:rPr>
      </w:pPr>
      <w:r>
        <w:rPr>
          <w:sz w:val="22"/>
        </w:rPr>
        <w:lastRenderedPageBreak/>
        <w:t>ч</w:t>
      </w:r>
      <w:r w:rsidR="006A5551" w:rsidRPr="006A5551">
        <w:rPr>
          <w:sz w:val="22"/>
        </w:rPr>
        <w:t>исло лиц, пострадавших от травм и отравлений (на 100 тыс. населения).</w:t>
      </w:r>
    </w:p>
    <w:p w:rsidR="006A5551" w:rsidRPr="006A5551" w:rsidRDefault="006A5551" w:rsidP="006A5551">
      <w:pPr>
        <w:spacing w:before="100" w:after="0" w:line="240" w:lineRule="auto"/>
        <w:jc w:val="both"/>
        <w:rPr>
          <w:sz w:val="22"/>
        </w:rPr>
      </w:pPr>
      <w:r w:rsidRPr="006A5551">
        <w:rPr>
          <w:sz w:val="22"/>
        </w:rPr>
        <w:t>Доля населения, находящегося ни</w:t>
      </w:r>
      <w:r w:rsidR="008339CC">
        <w:rPr>
          <w:sz w:val="22"/>
        </w:rPr>
        <w:t>ж</w:t>
      </w:r>
      <w:r w:rsidRPr="006A5551">
        <w:rPr>
          <w:sz w:val="22"/>
        </w:rPr>
        <w:t>е крайней черты бедности, определяется по уровню потребления продуктов питания. За этой чертой находятся те люди, которые потребляют продукты энергетической ценностью не более 1500 ккал. в день. Стоимость такого набора продуктов представляет собой черту крайней бедности в денежном выражении. Данные об объемах потребления продуктов питания собираются органами статистики в ходе обследования бюджетов домохозяйств.</w:t>
      </w:r>
    </w:p>
    <w:p w:rsidR="006A5551" w:rsidRPr="006A5551" w:rsidRDefault="006A5551" w:rsidP="006A5551">
      <w:pPr>
        <w:spacing w:before="100" w:after="0" w:line="240" w:lineRule="auto"/>
        <w:jc w:val="both"/>
        <w:rPr>
          <w:sz w:val="22"/>
        </w:rPr>
      </w:pPr>
      <w:r w:rsidRPr="006A5551">
        <w:rPr>
          <w:sz w:val="22"/>
        </w:rPr>
        <w:t>Естественным является стремление властей любого региона создать такие условия, при которых число крайне бедных было бы сведено к нулю, т.е. не было бы жителей, находящихся на грани выживания, а все они находились бы на более высокой ступени благосостояния. Поэтому в качестве минимального целевого значения данного показателя и принят ноль. В качестве максимального значения взяты показатели наименее благополучных по показателям бедности регионов в начале десятилетия, которые составляли около 30%.</w:t>
      </w:r>
    </w:p>
    <w:p w:rsidR="006A5551" w:rsidRPr="006A5551" w:rsidRDefault="006A5551" w:rsidP="006A5551">
      <w:pPr>
        <w:pStyle w:val="a4"/>
        <w:spacing w:beforeAutospacing="0" w:after="0" w:afterAutospacing="0"/>
        <w:jc w:val="both"/>
        <w:rPr>
          <w:sz w:val="22"/>
          <w:szCs w:val="22"/>
        </w:rPr>
      </w:pPr>
      <w:r w:rsidRPr="006A5551">
        <w:rPr>
          <w:sz w:val="22"/>
          <w:szCs w:val="22"/>
        </w:rPr>
        <w:t xml:space="preserve">Публикуемые данные о числе зарегистрированных преступлений по регионам не содержат разбивку по видам преступлений (или хотя бы выделение тяжких и особо тяжких преступлений), что позволило бы лучше описать различия в уровне криминальных рисков в регионах. По имеющимся же данным, уровень преступности в большинстве регионов Узбекистана достаточно низок и имеет тенденцию к снижению. Тем не менее, исходя из того, что любое преступление является злом, в качестве целевого минимума (может быть, недостижимого) определено нулевое значение. Максимальным принято значение 10 преступлений на 1000 населения в год, при котором один из ста граждан рискует стать жертвой преступных посягательств. </w:t>
      </w:r>
    </w:p>
    <w:p w:rsidR="006A5551" w:rsidRPr="006A5551" w:rsidRDefault="006A5551" w:rsidP="006A5551">
      <w:pPr>
        <w:pStyle w:val="a4"/>
        <w:spacing w:beforeAutospacing="0" w:after="0" w:afterAutospacing="0"/>
        <w:jc w:val="both"/>
        <w:rPr>
          <w:sz w:val="22"/>
          <w:szCs w:val="22"/>
        </w:rPr>
      </w:pPr>
      <w:r w:rsidRPr="006A5551">
        <w:rPr>
          <w:sz w:val="22"/>
          <w:szCs w:val="22"/>
        </w:rPr>
        <w:t>Распространенность наркомании и алкоголизма – социальное бедствие очень актуальное для переходного периода, тянущее за собой целый ряд других проблем и человеческих лишений. Поэтому в качестве целевого минимума здесь так</w:t>
      </w:r>
      <w:r w:rsidR="008339CC">
        <w:rPr>
          <w:sz w:val="22"/>
          <w:szCs w:val="22"/>
        </w:rPr>
        <w:t>ж</w:t>
      </w:r>
      <w:r w:rsidRPr="006A5551">
        <w:rPr>
          <w:sz w:val="22"/>
          <w:szCs w:val="22"/>
        </w:rPr>
        <w:t>е было принято значение «ноль». В качестве максимума, от которого следует уходить</w:t>
      </w:r>
      <w:r w:rsidR="008339CC">
        <w:rPr>
          <w:sz w:val="22"/>
          <w:szCs w:val="22"/>
        </w:rPr>
        <w:t>,</w:t>
      </w:r>
      <w:r w:rsidRPr="006A5551">
        <w:rPr>
          <w:sz w:val="22"/>
          <w:szCs w:val="22"/>
        </w:rPr>
        <w:t xml:space="preserve"> было принято значение 100 случаев на 100 тысяч населения: уровень, который был в наименее неблагополучных регионах в наиболее трудное время переходного периода 90-х годов.</w:t>
      </w:r>
    </w:p>
    <w:p w:rsidR="006A5551" w:rsidRPr="006A5551" w:rsidRDefault="006A5551" w:rsidP="006A5551">
      <w:pPr>
        <w:pStyle w:val="a4"/>
        <w:spacing w:beforeAutospacing="0" w:after="0" w:afterAutospacing="0"/>
        <w:jc w:val="both"/>
        <w:rPr>
          <w:sz w:val="22"/>
          <w:szCs w:val="22"/>
        </w:rPr>
      </w:pPr>
      <w:r w:rsidRPr="006A5551">
        <w:rPr>
          <w:sz w:val="22"/>
          <w:szCs w:val="22"/>
        </w:rPr>
        <w:t xml:space="preserve">В «индекс социальных болезней» входит также показатель </w:t>
      </w:r>
      <w:r w:rsidR="008339CC">
        <w:rPr>
          <w:sz w:val="22"/>
          <w:szCs w:val="22"/>
        </w:rPr>
        <w:t>«</w:t>
      </w:r>
      <w:r w:rsidRPr="006A5551">
        <w:rPr>
          <w:sz w:val="22"/>
          <w:szCs w:val="22"/>
        </w:rPr>
        <w:t>травмы и отравления в расчете на 100 тыс. населения». На первый взгляд это чисто медицинский показатель, но на самом деле он концентрирует «внешние», неестественные причины ухудшения здоровья людей. Этот показатель включает производственный травматизм, последствия ДТП, травмы, полученные жертвами при совершении преступ</w:t>
      </w:r>
      <w:r w:rsidR="008339CC">
        <w:rPr>
          <w:sz w:val="22"/>
          <w:szCs w:val="22"/>
        </w:rPr>
        <w:t>л</w:t>
      </w:r>
      <w:r w:rsidRPr="006A5551">
        <w:rPr>
          <w:sz w:val="22"/>
          <w:szCs w:val="22"/>
        </w:rPr>
        <w:t>ений, отравления некачественными продуктами и напитками и другие медицинские последствия социальных проблем. Данные по этому показателю</w:t>
      </w:r>
      <w:r w:rsidR="008339CC">
        <w:rPr>
          <w:sz w:val="22"/>
          <w:szCs w:val="22"/>
        </w:rPr>
        <w:t xml:space="preserve"> </w:t>
      </w:r>
      <w:r w:rsidRPr="006A5551">
        <w:rPr>
          <w:sz w:val="22"/>
          <w:szCs w:val="22"/>
        </w:rPr>
        <w:t xml:space="preserve">собираются </w:t>
      </w:r>
      <w:r w:rsidR="008339CC">
        <w:rPr>
          <w:sz w:val="22"/>
          <w:szCs w:val="22"/>
        </w:rPr>
        <w:t>М</w:t>
      </w:r>
      <w:r w:rsidRPr="006A5551">
        <w:rPr>
          <w:sz w:val="22"/>
          <w:szCs w:val="22"/>
        </w:rPr>
        <w:t>инистерством здравоохранения в виде учета числа обратившихся за медицинской помощью по поводу травм и отравлений и публикуются Госкомстатом.</w:t>
      </w:r>
      <w:r w:rsidR="0046663F">
        <w:rPr>
          <w:sz w:val="22"/>
          <w:szCs w:val="22"/>
        </w:rPr>
        <w:t xml:space="preserve"> </w:t>
      </w:r>
      <w:r w:rsidRPr="006A5551">
        <w:rPr>
          <w:sz w:val="22"/>
          <w:szCs w:val="22"/>
        </w:rPr>
        <w:t>Поскольку полностью избежать травм и отравлений невозможно, а распространенность этого явления достаточно высока, то учитывая сложившийся уровень показателей по регионам, в качестве минимума было взято значение1000 случаев на 100 тыс. населения, в качестве неблагоприятного максимума – 10 тыс</w:t>
      </w:r>
      <w:r w:rsidR="008339CC">
        <w:rPr>
          <w:sz w:val="22"/>
          <w:szCs w:val="22"/>
        </w:rPr>
        <w:t>.</w:t>
      </w:r>
      <w:r w:rsidRPr="006A5551">
        <w:rPr>
          <w:sz w:val="22"/>
          <w:szCs w:val="22"/>
        </w:rPr>
        <w:t xml:space="preserve"> случаев на 100 тыс. населения.</w:t>
      </w:r>
    </w:p>
    <w:p w:rsidR="006A5551" w:rsidRPr="006A5551" w:rsidRDefault="006A5551" w:rsidP="006A5551">
      <w:pPr>
        <w:spacing w:before="100" w:after="0" w:line="240" w:lineRule="auto"/>
        <w:jc w:val="both"/>
        <w:rPr>
          <w:sz w:val="22"/>
        </w:rPr>
      </w:pPr>
      <w:r w:rsidRPr="006A5551">
        <w:rPr>
          <w:sz w:val="22"/>
        </w:rPr>
        <w:t>Индекс социальных болезней рассчитывался как простая средняя арифметическая из нормированных значений отдельных показателей по формуле:</w:t>
      </w:r>
    </w:p>
    <w:p w:rsidR="006A5551" w:rsidRPr="006A5551" w:rsidRDefault="006A5551" w:rsidP="006A5551">
      <w:pPr>
        <w:spacing w:before="100" w:after="0" w:line="240" w:lineRule="auto"/>
        <w:jc w:val="both"/>
        <w:rPr>
          <w:sz w:val="22"/>
        </w:rPr>
      </w:pPr>
      <w:r w:rsidRPr="006A5551">
        <w:rPr>
          <w:sz w:val="22"/>
        </w:rPr>
        <w:t>ИСБ =(К</w:t>
      </w:r>
      <w:r w:rsidR="008339CC">
        <w:rPr>
          <w:sz w:val="22"/>
        </w:rPr>
        <w:t>Ч</w:t>
      </w:r>
      <w:r w:rsidRPr="006A5551">
        <w:rPr>
          <w:sz w:val="22"/>
        </w:rPr>
        <w:t>Б+</w:t>
      </w:r>
      <w:r w:rsidR="008339CC">
        <w:rPr>
          <w:sz w:val="22"/>
        </w:rPr>
        <w:t>ЗП</w:t>
      </w:r>
      <w:r w:rsidRPr="006A5551">
        <w:rPr>
          <w:sz w:val="22"/>
        </w:rPr>
        <w:t>+НА+ТО)/4</w:t>
      </w:r>
    </w:p>
    <w:p w:rsidR="006A5551" w:rsidRPr="006A5551" w:rsidRDefault="006A5551" w:rsidP="006A5551">
      <w:pPr>
        <w:pStyle w:val="a4"/>
        <w:spacing w:beforeAutospacing="0" w:after="0" w:afterAutospacing="0"/>
        <w:jc w:val="both"/>
        <w:rPr>
          <w:sz w:val="22"/>
          <w:szCs w:val="22"/>
        </w:rPr>
      </w:pPr>
      <w:r w:rsidRPr="006A5551">
        <w:rPr>
          <w:sz w:val="22"/>
          <w:szCs w:val="22"/>
        </w:rPr>
        <w:t>Где: К</w:t>
      </w:r>
      <w:r w:rsidR="008339CC">
        <w:rPr>
          <w:sz w:val="22"/>
          <w:szCs w:val="22"/>
        </w:rPr>
        <w:t>Ч</w:t>
      </w:r>
      <w:r w:rsidRPr="006A5551">
        <w:rPr>
          <w:sz w:val="22"/>
          <w:szCs w:val="22"/>
        </w:rPr>
        <w:t xml:space="preserve">Б – доля населения, находящегося ниже черты крайней бедности; </w:t>
      </w:r>
      <w:r w:rsidR="008339CC">
        <w:rPr>
          <w:sz w:val="22"/>
          <w:szCs w:val="22"/>
        </w:rPr>
        <w:t>ЗП</w:t>
      </w:r>
      <w:r w:rsidRPr="006A5551">
        <w:rPr>
          <w:sz w:val="22"/>
          <w:szCs w:val="22"/>
        </w:rPr>
        <w:t xml:space="preserve"> – число зарегистрированных преступлений; НА - число случаев заболевания наркоманией и алкоголизмом; ТО – число лиц, пострадавших от травм и отравлений.</w:t>
      </w:r>
    </w:p>
    <w:p w:rsidR="006A5551" w:rsidRPr="006A5551" w:rsidRDefault="006A5551" w:rsidP="006A5551">
      <w:pPr>
        <w:pStyle w:val="a4"/>
        <w:spacing w:beforeAutospacing="0" w:after="0" w:afterAutospacing="0"/>
        <w:jc w:val="both"/>
        <w:rPr>
          <w:sz w:val="22"/>
          <w:szCs w:val="22"/>
        </w:rPr>
      </w:pPr>
      <w:r w:rsidRPr="008339CC">
        <w:rPr>
          <w:b/>
          <w:i/>
          <w:sz w:val="22"/>
          <w:szCs w:val="22"/>
        </w:rPr>
        <w:t>Индекс гендерного равенства</w:t>
      </w:r>
      <w:r w:rsidRPr="006A5551">
        <w:rPr>
          <w:sz w:val="22"/>
          <w:szCs w:val="22"/>
        </w:rPr>
        <w:t xml:space="preserve">. </w:t>
      </w:r>
      <w:r w:rsidR="00DC6904">
        <w:rPr>
          <w:sz w:val="22"/>
          <w:szCs w:val="22"/>
        </w:rPr>
        <w:t>Индекс с</w:t>
      </w:r>
      <w:r w:rsidRPr="006A5551">
        <w:rPr>
          <w:sz w:val="22"/>
          <w:szCs w:val="22"/>
        </w:rPr>
        <w:t xml:space="preserve">остоит в настоящее время только из одного показателя </w:t>
      </w:r>
      <w:r w:rsidR="00FB4CFE">
        <w:rPr>
          <w:sz w:val="22"/>
          <w:szCs w:val="22"/>
        </w:rPr>
        <w:t>«</w:t>
      </w:r>
      <w:r w:rsidRPr="006A5551">
        <w:rPr>
          <w:sz w:val="22"/>
          <w:szCs w:val="22"/>
        </w:rPr>
        <w:t xml:space="preserve">доля женщин в численности рабочих и служащих». Для него не было </w:t>
      </w:r>
      <w:r w:rsidR="00FB4CFE">
        <w:rPr>
          <w:sz w:val="22"/>
          <w:szCs w:val="22"/>
        </w:rPr>
        <w:t>у</w:t>
      </w:r>
      <w:r w:rsidRPr="006A5551">
        <w:rPr>
          <w:sz w:val="22"/>
          <w:szCs w:val="22"/>
        </w:rPr>
        <w:t>становлено максимума и минимума. Оптимальным считается, чтобы доля каждого пола в занятости соответствовала его доле в численности населения. Данный индекс расс</w:t>
      </w:r>
      <w:r w:rsidR="006512EF">
        <w:rPr>
          <w:sz w:val="22"/>
          <w:szCs w:val="22"/>
        </w:rPr>
        <w:t>ч</w:t>
      </w:r>
      <w:r w:rsidRPr="006A5551">
        <w:rPr>
          <w:sz w:val="22"/>
          <w:szCs w:val="22"/>
        </w:rPr>
        <w:t>итывался по формуле:</w:t>
      </w:r>
    </w:p>
    <w:p w:rsidR="006A5551" w:rsidRPr="006A5551" w:rsidRDefault="006A5551" w:rsidP="006A5551">
      <w:pPr>
        <w:pStyle w:val="a4"/>
        <w:spacing w:beforeAutospacing="0" w:after="0" w:afterAutospacing="0"/>
        <w:jc w:val="both"/>
        <w:rPr>
          <w:sz w:val="22"/>
          <w:szCs w:val="22"/>
        </w:rPr>
      </w:pPr>
      <w:r w:rsidRPr="006A5551">
        <w:rPr>
          <w:position w:val="-30"/>
          <w:sz w:val="22"/>
          <w:szCs w:val="22"/>
        </w:rPr>
        <w:object w:dxaOrig="2500" w:dyaOrig="800">
          <v:shape id="_x0000_i1043" type="#_x0000_t75" style="width:125.5pt;height:40pt" o:ole="">
            <v:imagedata r:id="rId43" o:title=""/>
          </v:shape>
          <o:OLEObject Type="Embed" ProgID="Equation.DSMT4" ShapeID="_x0000_i1043" DrawAspect="Content" ObjectID="_1363103624" r:id="rId44"/>
        </w:object>
      </w:r>
    </w:p>
    <w:p w:rsidR="006A5551" w:rsidRPr="006A5551" w:rsidRDefault="006A5551" w:rsidP="006A5551">
      <w:pPr>
        <w:pStyle w:val="a4"/>
        <w:spacing w:beforeAutospacing="0" w:after="0" w:afterAutospacing="0"/>
        <w:jc w:val="both"/>
        <w:rPr>
          <w:sz w:val="22"/>
          <w:szCs w:val="22"/>
        </w:rPr>
      </w:pPr>
      <w:r w:rsidRPr="006A5551">
        <w:rPr>
          <w:sz w:val="22"/>
          <w:szCs w:val="22"/>
        </w:rPr>
        <w:t xml:space="preserve">Где: </w:t>
      </w:r>
      <w:r w:rsidRPr="006A5551">
        <w:rPr>
          <w:sz w:val="22"/>
          <w:szCs w:val="22"/>
          <w:lang w:val="en-US"/>
        </w:rPr>
        <w:t>IGE</w:t>
      </w:r>
      <w:r w:rsidRPr="006A5551">
        <w:rPr>
          <w:sz w:val="22"/>
          <w:szCs w:val="22"/>
        </w:rPr>
        <w:t>- индекс гендерного равенства;</w:t>
      </w:r>
    </w:p>
    <w:p w:rsidR="006A5551" w:rsidRPr="006A5551" w:rsidRDefault="006A5551" w:rsidP="006A5551">
      <w:pPr>
        <w:pStyle w:val="a4"/>
        <w:spacing w:beforeAutospacing="0" w:after="0" w:afterAutospacing="0"/>
        <w:jc w:val="both"/>
        <w:rPr>
          <w:sz w:val="22"/>
          <w:szCs w:val="22"/>
        </w:rPr>
      </w:pPr>
      <w:r w:rsidRPr="006A5551">
        <w:rPr>
          <w:sz w:val="22"/>
          <w:szCs w:val="22"/>
          <w:lang w:val="en-US"/>
        </w:rPr>
        <w:lastRenderedPageBreak/>
        <w:t>FE</w:t>
      </w:r>
      <w:r w:rsidRPr="006A5551">
        <w:rPr>
          <w:sz w:val="22"/>
          <w:szCs w:val="22"/>
        </w:rPr>
        <w:t xml:space="preserve">- доля женщин в численности занятых; </w:t>
      </w:r>
    </w:p>
    <w:p w:rsidR="006A5551" w:rsidRPr="006A5551" w:rsidRDefault="006A5551" w:rsidP="006A5551">
      <w:pPr>
        <w:pStyle w:val="a4"/>
        <w:spacing w:beforeAutospacing="0" w:after="0" w:afterAutospacing="0"/>
        <w:jc w:val="both"/>
        <w:rPr>
          <w:sz w:val="22"/>
          <w:szCs w:val="22"/>
        </w:rPr>
      </w:pPr>
      <w:r w:rsidRPr="006A5551">
        <w:rPr>
          <w:sz w:val="22"/>
          <w:szCs w:val="22"/>
          <w:lang w:val="en-US"/>
        </w:rPr>
        <w:t>ME</w:t>
      </w:r>
      <w:r w:rsidRPr="006A5551">
        <w:rPr>
          <w:sz w:val="22"/>
          <w:szCs w:val="22"/>
        </w:rPr>
        <w:t>- доля мужчин в численности занятых;</w:t>
      </w:r>
    </w:p>
    <w:p w:rsidR="006A5551" w:rsidRPr="006A5551" w:rsidRDefault="006A5551" w:rsidP="006A5551">
      <w:pPr>
        <w:pStyle w:val="a4"/>
        <w:spacing w:beforeAutospacing="0" w:after="0" w:afterAutospacing="0"/>
        <w:jc w:val="both"/>
        <w:rPr>
          <w:sz w:val="22"/>
          <w:szCs w:val="22"/>
        </w:rPr>
      </w:pPr>
      <w:r w:rsidRPr="006A5551">
        <w:rPr>
          <w:sz w:val="22"/>
          <w:szCs w:val="22"/>
          <w:lang w:val="en-US"/>
        </w:rPr>
        <w:t>FP</w:t>
      </w:r>
      <w:r w:rsidRPr="006A5551">
        <w:rPr>
          <w:sz w:val="22"/>
          <w:szCs w:val="22"/>
        </w:rPr>
        <w:t>- доля женщин в населении;</w:t>
      </w:r>
    </w:p>
    <w:p w:rsidR="006A5551" w:rsidRPr="006A5551" w:rsidRDefault="006A5551" w:rsidP="006A5551">
      <w:pPr>
        <w:pStyle w:val="a4"/>
        <w:spacing w:beforeAutospacing="0" w:after="0" w:afterAutospacing="0"/>
        <w:jc w:val="both"/>
        <w:rPr>
          <w:sz w:val="22"/>
          <w:szCs w:val="22"/>
        </w:rPr>
      </w:pPr>
      <w:r w:rsidRPr="006A5551">
        <w:rPr>
          <w:sz w:val="22"/>
          <w:szCs w:val="22"/>
          <w:lang w:val="en-US"/>
        </w:rPr>
        <w:t>MP</w:t>
      </w:r>
      <w:r w:rsidRPr="006A5551">
        <w:rPr>
          <w:sz w:val="22"/>
          <w:szCs w:val="22"/>
        </w:rPr>
        <w:t>- доля мужчин в населении.</w:t>
      </w:r>
    </w:p>
    <w:p w:rsidR="006A5551" w:rsidRPr="006A5551" w:rsidRDefault="006A5551" w:rsidP="006A5551">
      <w:pPr>
        <w:pStyle w:val="a4"/>
        <w:spacing w:beforeAutospacing="0" w:after="0" w:afterAutospacing="0"/>
        <w:jc w:val="both"/>
        <w:rPr>
          <w:sz w:val="22"/>
          <w:szCs w:val="22"/>
        </w:rPr>
      </w:pPr>
      <w:r w:rsidRPr="006A5551">
        <w:rPr>
          <w:sz w:val="22"/>
          <w:szCs w:val="22"/>
        </w:rPr>
        <w:t>Эта конструкция в чем-то сходна с равномерно распределенным индексом. Когда дол</w:t>
      </w:r>
      <w:r w:rsidR="006512EF">
        <w:rPr>
          <w:sz w:val="22"/>
          <w:szCs w:val="22"/>
        </w:rPr>
        <w:t>и</w:t>
      </w:r>
      <w:r w:rsidRPr="006A5551">
        <w:rPr>
          <w:sz w:val="22"/>
          <w:szCs w:val="22"/>
        </w:rPr>
        <w:t xml:space="preserve"> мужчин и женщин в занятости равны и</w:t>
      </w:r>
      <w:r w:rsidR="00FB4CFE">
        <w:rPr>
          <w:sz w:val="22"/>
          <w:szCs w:val="22"/>
        </w:rPr>
        <w:t>х</w:t>
      </w:r>
      <w:r w:rsidRPr="006A5551">
        <w:rPr>
          <w:sz w:val="22"/>
          <w:szCs w:val="22"/>
        </w:rPr>
        <w:t xml:space="preserve"> долям в населении</w:t>
      </w:r>
      <w:r w:rsidR="006512EF">
        <w:rPr>
          <w:sz w:val="22"/>
          <w:szCs w:val="22"/>
        </w:rPr>
        <w:t>, индекс равен единице</w:t>
      </w:r>
      <w:r w:rsidRPr="006A5551">
        <w:rPr>
          <w:sz w:val="22"/>
          <w:szCs w:val="22"/>
        </w:rPr>
        <w:t>. Отклонение, не важно в какую сторону, приводит к снижению значения индекса.</w:t>
      </w:r>
    </w:p>
    <w:p w:rsidR="006A5551" w:rsidRPr="00FB4CFE" w:rsidRDefault="006A5551" w:rsidP="00FB4CFE">
      <w:pPr>
        <w:pStyle w:val="a4"/>
        <w:spacing w:beforeAutospacing="0" w:after="0" w:afterAutospacing="0"/>
        <w:jc w:val="both"/>
        <w:rPr>
          <w:sz w:val="22"/>
          <w:szCs w:val="22"/>
        </w:rPr>
      </w:pPr>
      <w:r w:rsidRPr="006A5551">
        <w:rPr>
          <w:sz w:val="22"/>
          <w:szCs w:val="22"/>
        </w:rPr>
        <w:t>В случае, если будет получен доступ к другим показателям, которые могут хорошо характеризовать ситуацию с</w:t>
      </w:r>
      <w:r w:rsidR="00FB4CFE">
        <w:rPr>
          <w:sz w:val="22"/>
          <w:szCs w:val="22"/>
        </w:rPr>
        <w:t xml:space="preserve"> </w:t>
      </w:r>
      <w:r w:rsidRPr="006A5551">
        <w:rPr>
          <w:sz w:val="22"/>
          <w:szCs w:val="22"/>
        </w:rPr>
        <w:t>равенством женщин и мужчин в регионах, расчет индекса будет осуществляться по другой форму</w:t>
      </w:r>
      <w:r w:rsidRPr="00FB4CFE">
        <w:rPr>
          <w:sz w:val="22"/>
          <w:szCs w:val="22"/>
        </w:rPr>
        <w:t>ле. А показатель «доля женщин в численности рабочих и служащих» станет одним из показателей более комплексного индекса.</w:t>
      </w:r>
    </w:p>
    <w:p w:rsidR="00FB4CFE" w:rsidRPr="00FB4CFE" w:rsidRDefault="00FB4CFE" w:rsidP="00FB4CFE">
      <w:pPr>
        <w:spacing w:before="100" w:after="0" w:line="240" w:lineRule="auto"/>
        <w:jc w:val="both"/>
        <w:rPr>
          <w:sz w:val="22"/>
        </w:rPr>
      </w:pPr>
      <w:r w:rsidRPr="00DC6904">
        <w:rPr>
          <w:sz w:val="22"/>
        </w:rPr>
        <w:t>Сводный</w:t>
      </w:r>
      <w:r w:rsidRPr="00DC6904">
        <w:rPr>
          <w:b/>
          <w:i/>
          <w:sz w:val="22"/>
        </w:rPr>
        <w:t xml:space="preserve"> социальный индекс человеческого развития</w:t>
      </w:r>
      <w:r w:rsidRPr="00FB4CFE">
        <w:rPr>
          <w:sz w:val="22"/>
        </w:rPr>
        <w:t xml:space="preserve"> (СИЧР) строится на основе четырех рассчитанных ранее субиндексов. С учетом количественных и качественных различий показателей, входящих в состав частных индексов, СИЧР рассчитывается как средняя арифметическая взвешенная по следующей формуле:</w:t>
      </w:r>
    </w:p>
    <w:p w:rsidR="00FB4CFE" w:rsidRPr="00FB4CFE" w:rsidRDefault="00FB4CFE" w:rsidP="00FB4CFE">
      <w:pPr>
        <w:spacing w:before="100" w:after="0" w:line="240" w:lineRule="auto"/>
        <w:jc w:val="both"/>
        <w:rPr>
          <w:sz w:val="22"/>
        </w:rPr>
      </w:pPr>
      <w:r w:rsidRPr="00FB4CFE">
        <w:rPr>
          <w:sz w:val="22"/>
        </w:rPr>
        <w:t>СИЧР= 0,3*ИЗ+0,3*ИОБР+0,2*ИСБ+0,2*</w:t>
      </w:r>
      <w:r w:rsidRPr="006A5551">
        <w:rPr>
          <w:sz w:val="22"/>
          <w:lang w:val="en-US"/>
        </w:rPr>
        <w:t>IGE</w:t>
      </w:r>
      <w:r w:rsidRPr="00FB4CFE">
        <w:rPr>
          <w:sz w:val="22"/>
        </w:rPr>
        <w:t>,</w:t>
      </w:r>
    </w:p>
    <w:p w:rsidR="00FB4CFE" w:rsidRPr="00FB4CFE" w:rsidRDefault="00FB4CFE" w:rsidP="00FB4CFE">
      <w:pPr>
        <w:spacing w:before="100" w:after="0" w:line="240" w:lineRule="auto"/>
        <w:jc w:val="both"/>
        <w:rPr>
          <w:sz w:val="22"/>
        </w:rPr>
      </w:pPr>
      <w:r w:rsidRPr="00FB4CFE">
        <w:rPr>
          <w:sz w:val="22"/>
        </w:rPr>
        <w:t xml:space="preserve">где: ИЗ – индекс здоровья; ИОБР – индекс образования; ИСБ – индекс социальных болезней; </w:t>
      </w:r>
      <w:r w:rsidRPr="006A5551">
        <w:rPr>
          <w:sz w:val="22"/>
          <w:lang w:val="en-US"/>
        </w:rPr>
        <w:t>IGE</w:t>
      </w:r>
      <w:r w:rsidRPr="00FB4CFE">
        <w:rPr>
          <w:sz w:val="22"/>
        </w:rPr>
        <w:t xml:space="preserve"> – индекс гендерного равенства.</w:t>
      </w:r>
    </w:p>
    <w:p w:rsidR="00FB4CFE" w:rsidRPr="00FB4CFE" w:rsidRDefault="00FB4CFE" w:rsidP="00FB4CFE">
      <w:pPr>
        <w:pStyle w:val="a4"/>
        <w:spacing w:beforeAutospacing="0" w:after="0" w:afterAutospacing="0"/>
        <w:jc w:val="both"/>
        <w:rPr>
          <w:sz w:val="22"/>
          <w:szCs w:val="22"/>
        </w:rPr>
      </w:pPr>
      <w:r w:rsidRPr="00FB4CFE">
        <w:rPr>
          <w:sz w:val="22"/>
          <w:szCs w:val="22"/>
        </w:rPr>
        <w:t xml:space="preserve">Индекс здоровья и индекс образования получили вес по 30%, а индексы «социальных болезней» и гендерного равенства – по 20%. Индекс социальных болезней отражает степень риска, с которым человек сталкивается, реализуя свои права и возможности. Но эти риски в некоторой степени являются платой за высокий уровень благосостояния </w:t>
      </w:r>
      <w:r w:rsidR="006512EF">
        <w:rPr>
          <w:sz w:val="22"/>
          <w:szCs w:val="22"/>
        </w:rPr>
        <w:t>(</w:t>
      </w:r>
      <w:r w:rsidRPr="00FB4CFE">
        <w:rPr>
          <w:sz w:val="22"/>
          <w:szCs w:val="22"/>
        </w:rPr>
        <w:t>«нет автомобилей – нет ДТП»</w:t>
      </w:r>
      <w:r w:rsidR="006512EF">
        <w:rPr>
          <w:sz w:val="22"/>
          <w:szCs w:val="22"/>
        </w:rPr>
        <w:t>)</w:t>
      </w:r>
      <w:r w:rsidRPr="00FB4CFE">
        <w:rPr>
          <w:sz w:val="22"/>
          <w:szCs w:val="22"/>
        </w:rPr>
        <w:t>. Поэтому данный субиндекс скорее корректирует показатели, отраженные в экономическом индексе человеческого развития и других разделах социального индекса. В индексе гендерного равенства пока содержится только один, пусть и важный показатель – доля женщин в общей численности занятых в экономике. Поэтому он не может быть равноценным таким компонентам как состояние здоровья и уровень образования.</w:t>
      </w:r>
    </w:p>
    <w:p w:rsidR="006A5551" w:rsidRDefault="006A5551" w:rsidP="006A5551">
      <w:pPr>
        <w:pStyle w:val="a4"/>
        <w:spacing w:beforeAutospacing="0" w:after="0" w:afterAutospacing="0"/>
        <w:jc w:val="both"/>
        <w:rPr>
          <w:sz w:val="22"/>
          <w:szCs w:val="22"/>
        </w:rPr>
      </w:pPr>
      <w:r w:rsidRPr="00DC6904">
        <w:rPr>
          <w:sz w:val="22"/>
          <w:szCs w:val="22"/>
        </w:rPr>
        <w:t>Сводный</w:t>
      </w:r>
      <w:r w:rsidRPr="00FB4CFE">
        <w:rPr>
          <w:b/>
          <w:i/>
          <w:sz w:val="22"/>
          <w:szCs w:val="22"/>
        </w:rPr>
        <w:t xml:space="preserve"> индекс человеческого развития</w:t>
      </w:r>
      <w:r w:rsidRPr="006A5551">
        <w:rPr>
          <w:sz w:val="22"/>
          <w:szCs w:val="22"/>
        </w:rPr>
        <w:t xml:space="preserve"> вычислялся как простая средняя арифметическая экономического индекса человеческого развития (ЭИЧР) и социального индекса человеческого развития (СИЧР).</w:t>
      </w:r>
    </w:p>
    <w:p w:rsidR="006A5551" w:rsidRPr="006A5551" w:rsidRDefault="006A5551" w:rsidP="006A5551">
      <w:pPr>
        <w:pStyle w:val="a4"/>
        <w:spacing w:beforeAutospacing="0" w:after="0" w:afterAutospacing="0"/>
        <w:jc w:val="both"/>
        <w:rPr>
          <w:sz w:val="22"/>
          <w:szCs w:val="22"/>
        </w:rPr>
      </w:pPr>
      <w:r w:rsidRPr="00DC79FE">
        <w:rPr>
          <w:b/>
          <w:sz w:val="22"/>
          <w:szCs w:val="22"/>
        </w:rPr>
        <w:t>Доступ к статистическим данным</w:t>
      </w:r>
      <w:r w:rsidRPr="006A5551">
        <w:rPr>
          <w:sz w:val="22"/>
          <w:szCs w:val="22"/>
        </w:rPr>
        <w:t>. Возмо</w:t>
      </w:r>
      <w:r w:rsidR="00DC79FE">
        <w:rPr>
          <w:sz w:val="22"/>
          <w:szCs w:val="22"/>
        </w:rPr>
        <w:t>ж</w:t>
      </w:r>
      <w:r w:rsidRPr="006A5551">
        <w:rPr>
          <w:sz w:val="22"/>
          <w:szCs w:val="22"/>
        </w:rPr>
        <w:t xml:space="preserve">ности изучения социально-экономических различий между регионами Узбекистана ограничивались отсутствием многих полезных показателей, которые либо не собираются, либо не публикуются в открытых источниках. Для четырех показателей, используемых в построении индекса: «доля преподавателей средних специальных (профессиональных) учебных заведений, имеющих высшее образование, в %», «доля профессорско-преподавательского состава ВУЗов, имеющего ученые степени, в %», «доля населения, </w:t>
      </w:r>
      <w:r w:rsidRPr="009C2421">
        <w:rPr>
          <w:sz w:val="22"/>
          <w:szCs w:val="22"/>
        </w:rPr>
        <w:t xml:space="preserve">находящегося ниже крайней черты бедности, в %» и «доля женщин в общей численности рабочих и служащих, в %», </w:t>
      </w:r>
      <w:r w:rsidR="00DC79FE" w:rsidRPr="009C2421">
        <w:rPr>
          <w:sz w:val="22"/>
          <w:szCs w:val="22"/>
        </w:rPr>
        <w:t>д</w:t>
      </w:r>
      <w:r w:rsidRPr="009C2421">
        <w:rPr>
          <w:sz w:val="22"/>
          <w:szCs w:val="22"/>
        </w:rPr>
        <w:t xml:space="preserve">анные за 2008 год опубликованы не были. Вследствие этого значения </w:t>
      </w:r>
      <w:r w:rsidR="00DC79FE" w:rsidRPr="009C2421">
        <w:rPr>
          <w:sz w:val="22"/>
          <w:szCs w:val="22"/>
        </w:rPr>
        <w:t>данных</w:t>
      </w:r>
      <w:r w:rsidRPr="009C2421">
        <w:rPr>
          <w:sz w:val="22"/>
          <w:szCs w:val="22"/>
        </w:rPr>
        <w:t xml:space="preserve"> показателей за 2008 год были взяты как </w:t>
      </w:r>
      <w:r w:rsidRPr="009C2421">
        <w:rPr>
          <w:b/>
          <w:i/>
          <w:sz w:val="22"/>
          <w:szCs w:val="22"/>
        </w:rPr>
        <w:t>средняя арифметическая каждого из показателей за 2004-2008 годы</w:t>
      </w:r>
      <w:r w:rsidRPr="009C2421">
        <w:rPr>
          <w:sz w:val="22"/>
          <w:szCs w:val="22"/>
        </w:rPr>
        <w:t>. Это позволило остаться в рамках анализа фактических показателей. Строить тренды на данных за четыре года, по показателям, законы распределения которых неизвестны, не представляется возможным. Построение точек за 2008 год с использованием инструментов регрессионного анализа в некоторых случаях приводит к изменению мест регионов в рейтинге, которое нельзя считать об</w:t>
      </w:r>
      <w:r w:rsidR="00DC79FE" w:rsidRPr="009C2421">
        <w:rPr>
          <w:sz w:val="22"/>
          <w:szCs w:val="22"/>
        </w:rPr>
        <w:t>о</w:t>
      </w:r>
      <w:r w:rsidRPr="009C2421">
        <w:rPr>
          <w:sz w:val="22"/>
          <w:szCs w:val="22"/>
        </w:rPr>
        <w:t>снованным. По мере получения данных за 2008 год они могут заменять использовавшиеся для построения индекса средние величины.</w:t>
      </w:r>
      <w:r w:rsidR="00627631">
        <w:rPr>
          <w:sz w:val="22"/>
          <w:szCs w:val="22"/>
        </w:rPr>
        <w:t xml:space="preserve"> </w:t>
      </w:r>
    </w:p>
    <w:p w:rsidR="000F135F" w:rsidRDefault="000F135F">
      <w:pPr>
        <w:rPr>
          <w:rFonts w:eastAsia="Times New Roman"/>
          <w:szCs w:val="24"/>
          <w:lang w:eastAsia="ru-RU"/>
        </w:rPr>
      </w:pPr>
    </w:p>
    <w:p w:rsidR="000F135F" w:rsidRDefault="000F135F" w:rsidP="000F135F">
      <w:pPr>
        <w:jc w:val="center"/>
        <w:rPr>
          <w:b/>
          <w:sz w:val="28"/>
          <w:szCs w:val="28"/>
        </w:rPr>
        <w:sectPr w:rsidR="000F135F" w:rsidSect="00D12453">
          <w:pgSz w:w="11906" w:h="16838"/>
          <w:pgMar w:top="1134" w:right="850" w:bottom="1134" w:left="1701" w:header="708" w:footer="708" w:gutter="0"/>
          <w:cols w:space="708"/>
          <w:docGrid w:linePitch="360"/>
        </w:sectPr>
      </w:pPr>
    </w:p>
    <w:p w:rsidR="000F135F" w:rsidRPr="004A68A0" w:rsidRDefault="000F135F" w:rsidP="000F135F">
      <w:pPr>
        <w:jc w:val="center"/>
        <w:rPr>
          <w:b/>
          <w:sz w:val="28"/>
          <w:szCs w:val="28"/>
        </w:rPr>
      </w:pPr>
      <w:r w:rsidRPr="004A68A0">
        <w:rPr>
          <w:b/>
          <w:sz w:val="28"/>
          <w:szCs w:val="28"/>
        </w:rPr>
        <w:lastRenderedPageBreak/>
        <w:t xml:space="preserve">Приложение </w:t>
      </w:r>
      <w:r w:rsidR="00F45AB9">
        <w:rPr>
          <w:b/>
          <w:sz w:val="28"/>
          <w:szCs w:val="28"/>
        </w:rPr>
        <w:t>3</w:t>
      </w:r>
      <w:r w:rsidRPr="004A68A0">
        <w:rPr>
          <w:b/>
          <w:sz w:val="28"/>
          <w:szCs w:val="28"/>
        </w:rPr>
        <w:t xml:space="preserve">. </w:t>
      </w:r>
      <w:r w:rsidR="004A68A0" w:rsidRPr="004A68A0">
        <w:rPr>
          <w:b/>
          <w:sz w:val="28"/>
          <w:szCs w:val="28"/>
        </w:rPr>
        <w:t xml:space="preserve">Статистические материалы, используемые для </w:t>
      </w:r>
      <w:r w:rsidRPr="004A68A0">
        <w:rPr>
          <w:b/>
          <w:sz w:val="28"/>
          <w:szCs w:val="28"/>
        </w:rPr>
        <w:t>расчета индекса человеческого развития регионов Узбекистана</w:t>
      </w:r>
    </w:p>
    <w:p w:rsidR="00896A20" w:rsidRPr="00896A20" w:rsidRDefault="00896A20" w:rsidP="00896A20">
      <w:pPr>
        <w:spacing w:after="0" w:line="240" w:lineRule="auto"/>
        <w:rPr>
          <w:b/>
          <w:szCs w:val="24"/>
        </w:rPr>
      </w:pPr>
      <w:r w:rsidRPr="00896A20">
        <w:rPr>
          <w:b/>
          <w:szCs w:val="24"/>
        </w:rPr>
        <w:t>Таблица 1. Потребительские расходы населения.</w:t>
      </w:r>
    </w:p>
    <w:tbl>
      <w:tblPr>
        <w:tblW w:w="11234" w:type="dxa"/>
        <w:tblInd w:w="93" w:type="dxa"/>
        <w:tblLook w:val="0000"/>
      </w:tblPr>
      <w:tblGrid>
        <w:gridCol w:w="2992"/>
        <w:gridCol w:w="725"/>
        <w:gridCol w:w="725"/>
        <w:gridCol w:w="725"/>
        <w:gridCol w:w="951"/>
        <w:gridCol w:w="952"/>
        <w:gridCol w:w="694"/>
        <w:gridCol w:w="694"/>
        <w:gridCol w:w="694"/>
        <w:gridCol w:w="694"/>
        <w:gridCol w:w="694"/>
        <w:gridCol w:w="694"/>
      </w:tblGrid>
      <w:tr w:rsidR="00896A20" w:rsidRPr="00896A20" w:rsidTr="00896A20">
        <w:trPr>
          <w:trHeight w:val="82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896A20" w:rsidRPr="00896A20" w:rsidRDefault="00896A20" w:rsidP="00896A20">
            <w:pPr>
              <w:spacing w:after="0" w:line="240" w:lineRule="auto"/>
              <w:rPr>
                <w:b/>
                <w:bCs/>
                <w:sz w:val="20"/>
                <w:szCs w:val="20"/>
              </w:rPr>
            </w:pPr>
            <w:r w:rsidRPr="00896A20">
              <w:rPr>
                <w:b/>
                <w:bCs/>
                <w:sz w:val="20"/>
                <w:szCs w:val="20"/>
              </w:rPr>
              <w:t> </w:t>
            </w:r>
          </w:p>
        </w:tc>
        <w:tc>
          <w:tcPr>
            <w:tcW w:w="4078" w:type="dxa"/>
            <w:gridSpan w:val="5"/>
            <w:tcBorders>
              <w:top w:val="single" w:sz="4" w:space="0" w:color="auto"/>
              <w:left w:val="nil"/>
              <w:bottom w:val="single" w:sz="4" w:space="0" w:color="auto"/>
              <w:right w:val="single" w:sz="4" w:space="0" w:color="auto"/>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Розничный товарооборот, включая оборот предприятий питания,  на душу населения (тыс. сум)</w:t>
            </w:r>
          </w:p>
        </w:tc>
        <w:tc>
          <w:tcPr>
            <w:tcW w:w="4164" w:type="dxa"/>
            <w:gridSpan w:val="6"/>
            <w:tcBorders>
              <w:top w:val="single" w:sz="4" w:space="0" w:color="auto"/>
              <w:left w:val="nil"/>
              <w:bottom w:val="single" w:sz="4" w:space="0" w:color="auto"/>
              <w:right w:val="single" w:sz="4" w:space="0" w:color="auto"/>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Платные услуги населению, на душу населения (тыс.сум)</w:t>
            </w:r>
          </w:p>
        </w:tc>
      </w:tr>
      <w:tr w:rsidR="00896A20" w:rsidRPr="00896A20" w:rsidTr="00896A20">
        <w:trPr>
          <w:trHeight w:val="52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b/>
                <w:bCs/>
                <w:sz w:val="20"/>
                <w:szCs w:val="20"/>
              </w:rPr>
            </w:pPr>
            <w:r w:rsidRPr="00896A20">
              <w:rPr>
                <w:b/>
                <w:bCs/>
                <w:sz w:val="20"/>
                <w:szCs w:val="20"/>
              </w:rPr>
              <w:t>Регионы</w:t>
            </w:r>
          </w:p>
        </w:tc>
        <w:tc>
          <w:tcPr>
            <w:tcW w:w="725"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2004</w:t>
            </w:r>
          </w:p>
        </w:tc>
        <w:tc>
          <w:tcPr>
            <w:tcW w:w="725"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2005</w:t>
            </w:r>
          </w:p>
        </w:tc>
        <w:tc>
          <w:tcPr>
            <w:tcW w:w="725"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2006</w:t>
            </w:r>
          </w:p>
        </w:tc>
        <w:tc>
          <w:tcPr>
            <w:tcW w:w="951"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2007</w:t>
            </w:r>
          </w:p>
        </w:tc>
        <w:tc>
          <w:tcPr>
            <w:tcW w:w="952"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2008</w:t>
            </w:r>
          </w:p>
        </w:tc>
        <w:tc>
          <w:tcPr>
            <w:tcW w:w="694"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2004</w:t>
            </w:r>
          </w:p>
        </w:tc>
        <w:tc>
          <w:tcPr>
            <w:tcW w:w="694"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2005</w:t>
            </w:r>
          </w:p>
        </w:tc>
        <w:tc>
          <w:tcPr>
            <w:tcW w:w="694"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2006</w:t>
            </w:r>
          </w:p>
        </w:tc>
        <w:tc>
          <w:tcPr>
            <w:tcW w:w="694"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2007</w:t>
            </w:r>
          </w:p>
        </w:tc>
        <w:tc>
          <w:tcPr>
            <w:tcW w:w="694"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2008</w:t>
            </w:r>
          </w:p>
        </w:tc>
        <w:tc>
          <w:tcPr>
            <w:tcW w:w="694"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2009</w:t>
            </w:r>
          </w:p>
        </w:tc>
      </w:tr>
      <w:tr w:rsidR="00896A20" w:rsidRPr="00896A20" w:rsidTr="00896A20">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Республика Каракалпакстан</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93.4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99.6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134.3  </w:t>
            </w:r>
          </w:p>
        </w:tc>
        <w:tc>
          <w:tcPr>
            <w:tcW w:w="951"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172.4  </w:t>
            </w:r>
          </w:p>
        </w:tc>
        <w:tc>
          <w:tcPr>
            <w:tcW w:w="95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239.4  </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18.8</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25.0</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32.7</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47.8</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68.8</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91.3</w:t>
            </w:r>
          </w:p>
        </w:tc>
      </w:tr>
      <w:tr w:rsidR="00896A20" w:rsidRPr="00896A20" w:rsidTr="00896A20">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Андижанская область</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203.3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210.3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268.6  </w:t>
            </w:r>
          </w:p>
        </w:tc>
        <w:tc>
          <w:tcPr>
            <w:tcW w:w="951"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315.1  </w:t>
            </w:r>
          </w:p>
        </w:tc>
        <w:tc>
          <w:tcPr>
            <w:tcW w:w="95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401.1  </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47.3</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60.1</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84.5</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114.3</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167.2</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222.6</w:t>
            </w:r>
          </w:p>
        </w:tc>
      </w:tr>
      <w:tr w:rsidR="00896A20" w:rsidRPr="00896A20" w:rsidTr="00896A20">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Бухарская область</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162.6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195.8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252.9  </w:t>
            </w:r>
          </w:p>
        </w:tc>
        <w:tc>
          <w:tcPr>
            <w:tcW w:w="951"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331.9  </w:t>
            </w:r>
          </w:p>
        </w:tc>
        <w:tc>
          <w:tcPr>
            <w:tcW w:w="95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445.2  </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43.0</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57.8</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76.8</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105.9</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147.0</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178</w:t>
            </w:r>
          </w:p>
        </w:tc>
      </w:tr>
      <w:tr w:rsidR="00896A20" w:rsidRPr="00896A20" w:rsidTr="00896A20">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Джизакская область</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116.3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119.8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157.9  </w:t>
            </w:r>
          </w:p>
        </w:tc>
        <w:tc>
          <w:tcPr>
            <w:tcW w:w="951"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211.5  </w:t>
            </w:r>
          </w:p>
        </w:tc>
        <w:tc>
          <w:tcPr>
            <w:tcW w:w="95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291.6  </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23.4</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30.3</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38.4</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47.0</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84.3</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116.1</w:t>
            </w:r>
          </w:p>
        </w:tc>
      </w:tr>
      <w:tr w:rsidR="00896A20" w:rsidRPr="00896A20" w:rsidTr="00896A20">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Кашкадарьинская область</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139.9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152.2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192.0  </w:t>
            </w:r>
          </w:p>
        </w:tc>
        <w:tc>
          <w:tcPr>
            <w:tcW w:w="951"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226.8  </w:t>
            </w:r>
          </w:p>
        </w:tc>
        <w:tc>
          <w:tcPr>
            <w:tcW w:w="95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294.6  </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19.6</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29.1</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41.2</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59.7</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88.5</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110.4</w:t>
            </w:r>
          </w:p>
        </w:tc>
      </w:tr>
      <w:tr w:rsidR="00896A20" w:rsidRPr="00896A20" w:rsidTr="00896A20">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Навоийская область</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179.9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207.2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289.9  </w:t>
            </w:r>
          </w:p>
        </w:tc>
        <w:tc>
          <w:tcPr>
            <w:tcW w:w="951"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403.3  </w:t>
            </w:r>
          </w:p>
        </w:tc>
        <w:tc>
          <w:tcPr>
            <w:tcW w:w="95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531.6  </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44.2</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58.3</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72.4</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99.0</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147.6</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208</w:t>
            </w:r>
          </w:p>
        </w:tc>
      </w:tr>
      <w:tr w:rsidR="00896A20" w:rsidRPr="00896A20" w:rsidTr="00896A20">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Наманганская область</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132.8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154.1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208.8  </w:t>
            </w:r>
          </w:p>
        </w:tc>
        <w:tc>
          <w:tcPr>
            <w:tcW w:w="951"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267.3  </w:t>
            </w:r>
          </w:p>
        </w:tc>
        <w:tc>
          <w:tcPr>
            <w:tcW w:w="95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346.8  </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25.3</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33.6</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49.6</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69.3</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105.3</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150.3</w:t>
            </w:r>
          </w:p>
        </w:tc>
      </w:tr>
      <w:tr w:rsidR="00896A20" w:rsidRPr="00896A20" w:rsidTr="00896A20">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Самаркандская область</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130.2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146.2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182.2  </w:t>
            </w:r>
          </w:p>
        </w:tc>
        <w:tc>
          <w:tcPr>
            <w:tcW w:w="951"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230.1  </w:t>
            </w:r>
          </w:p>
        </w:tc>
        <w:tc>
          <w:tcPr>
            <w:tcW w:w="95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305.4  </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32.3</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44.7</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61.2</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89.0</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132.8</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207.2</w:t>
            </w:r>
          </w:p>
        </w:tc>
      </w:tr>
      <w:tr w:rsidR="00896A20" w:rsidRPr="00896A20" w:rsidTr="00896A20">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Сурхандарьинская область</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133.7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161.4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225.8  </w:t>
            </w:r>
          </w:p>
        </w:tc>
        <w:tc>
          <w:tcPr>
            <w:tcW w:w="951"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285.9  </w:t>
            </w:r>
          </w:p>
        </w:tc>
        <w:tc>
          <w:tcPr>
            <w:tcW w:w="95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351.6  </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23.8</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30.1</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37.4</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44.3</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59.5</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86.5</w:t>
            </w:r>
          </w:p>
        </w:tc>
      </w:tr>
      <w:tr w:rsidR="00896A20" w:rsidRPr="00896A20" w:rsidTr="00896A20">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Сырдарьинская область</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107.2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129.5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170.7  </w:t>
            </w:r>
          </w:p>
        </w:tc>
        <w:tc>
          <w:tcPr>
            <w:tcW w:w="951"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238.0  </w:t>
            </w:r>
          </w:p>
        </w:tc>
        <w:tc>
          <w:tcPr>
            <w:tcW w:w="95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330.4  </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19.4</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27.9</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43.6</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66.2</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96.7</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134.4</w:t>
            </w:r>
          </w:p>
        </w:tc>
      </w:tr>
      <w:tr w:rsidR="00896A20" w:rsidRPr="00896A20" w:rsidTr="00896A20">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Ташкентская область</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218.0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239.9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307.8  </w:t>
            </w:r>
          </w:p>
        </w:tc>
        <w:tc>
          <w:tcPr>
            <w:tcW w:w="951"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400.2  </w:t>
            </w:r>
          </w:p>
        </w:tc>
        <w:tc>
          <w:tcPr>
            <w:tcW w:w="95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565.1  </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30.9</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40.6</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53.3</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71.8</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109.9</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155.6</w:t>
            </w:r>
          </w:p>
        </w:tc>
      </w:tr>
      <w:tr w:rsidR="00896A20" w:rsidRPr="00896A20" w:rsidTr="00896A20">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Ферганская область</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191.2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207.0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263.7  </w:t>
            </w:r>
          </w:p>
        </w:tc>
        <w:tc>
          <w:tcPr>
            <w:tcW w:w="951"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304.5  </w:t>
            </w:r>
          </w:p>
        </w:tc>
        <w:tc>
          <w:tcPr>
            <w:tcW w:w="95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383.8  </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30.1</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41.9</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56.4</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76.1</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113.9</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154.8</w:t>
            </w:r>
          </w:p>
        </w:tc>
      </w:tr>
      <w:tr w:rsidR="00896A20" w:rsidRPr="00896A20" w:rsidTr="00896A20">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Хорезмская область</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113.4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149.8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219.5  </w:t>
            </w:r>
          </w:p>
        </w:tc>
        <w:tc>
          <w:tcPr>
            <w:tcW w:w="951"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274.8  </w:t>
            </w:r>
          </w:p>
        </w:tc>
        <w:tc>
          <w:tcPr>
            <w:tcW w:w="95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358.4  </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31.8</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44.7</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63.2</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81.8</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116.0</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149.8</w:t>
            </w:r>
          </w:p>
        </w:tc>
      </w:tr>
      <w:tr w:rsidR="00896A20" w:rsidRPr="00896A20" w:rsidTr="00896A20">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Город Ташкент</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518.5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656.9  </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910.1  </w:t>
            </w:r>
          </w:p>
        </w:tc>
        <w:tc>
          <w:tcPr>
            <w:tcW w:w="951"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1 196.7  </w:t>
            </w:r>
          </w:p>
        </w:tc>
        <w:tc>
          <w:tcPr>
            <w:tcW w:w="95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1 523.0  </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197.6</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247.1</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318.4</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423.0</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654.9</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843</w:t>
            </w:r>
          </w:p>
        </w:tc>
      </w:tr>
      <w:tr w:rsidR="00896A20" w:rsidRPr="00896A20" w:rsidTr="00896A20">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Республика Узбекистан</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center"/>
              <w:rPr>
                <w:sz w:val="20"/>
                <w:szCs w:val="20"/>
              </w:rPr>
            </w:pPr>
            <w:r w:rsidRPr="00896A20">
              <w:rPr>
                <w:sz w:val="20"/>
                <w:szCs w:val="20"/>
              </w:rPr>
              <w:t>184.4</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center"/>
              <w:rPr>
                <w:sz w:val="20"/>
                <w:szCs w:val="20"/>
              </w:rPr>
            </w:pPr>
            <w:r w:rsidRPr="00896A20">
              <w:rPr>
                <w:sz w:val="20"/>
                <w:szCs w:val="20"/>
              </w:rPr>
              <w:t>212.4</w:t>
            </w:r>
          </w:p>
        </w:tc>
        <w:tc>
          <w:tcPr>
            <w:tcW w:w="725"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center"/>
              <w:rPr>
                <w:sz w:val="20"/>
                <w:szCs w:val="20"/>
              </w:rPr>
            </w:pPr>
            <w:r w:rsidRPr="00896A20">
              <w:rPr>
                <w:sz w:val="20"/>
                <w:szCs w:val="20"/>
              </w:rPr>
              <w:t>280.4</w:t>
            </w:r>
          </w:p>
        </w:tc>
        <w:tc>
          <w:tcPr>
            <w:tcW w:w="951"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center"/>
              <w:rPr>
                <w:sz w:val="20"/>
                <w:szCs w:val="20"/>
              </w:rPr>
            </w:pPr>
            <w:r w:rsidRPr="00896A20">
              <w:rPr>
                <w:sz w:val="20"/>
                <w:szCs w:val="20"/>
              </w:rPr>
              <w:t>355.1</w:t>
            </w:r>
          </w:p>
        </w:tc>
        <w:tc>
          <w:tcPr>
            <w:tcW w:w="95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 </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 </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61.3</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82.5</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112.7</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163.3</w:t>
            </w:r>
          </w:p>
        </w:tc>
        <w:tc>
          <w:tcPr>
            <w:tcW w:w="694"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226</w:t>
            </w:r>
          </w:p>
        </w:tc>
      </w:tr>
    </w:tbl>
    <w:p w:rsidR="00896A20" w:rsidRPr="00896A20" w:rsidRDefault="00896A20" w:rsidP="00896A20">
      <w:pPr>
        <w:spacing w:after="0" w:line="240" w:lineRule="auto"/>
        <w:rPr>
          <w:sz w:val="20"/>
          <w:szCs w:val="20"/>
        </w:rPr>
      </w:pPr>
    </w:p>
    <w:p w:rsidR="00896A20" w:rsidRDefault="00896A20">
      <w:pPr>
        <w:rPr>
          <w:b/>
          <w:sz w:val="20"/>
          <w:szCs w:val="20"/>
        </w:rPr>
      </w:pPr>
      <w:r>
        <w:rPr>
          <w:b/>
          <w:sz w:val="20"/>
          <w:szCs w:val="20"/>
        </w:rPr>
        <w:br w:type="page"/>
      </w:r>
    </w:p>
    <w:p w:rsidR="00896A20" w:rsidRPr="00896A20" w:rsidRDefault="00896A20" w:rsidP="00896A20">
      <w:pPr>
        <w:spacing w:after="0" w:line="240" w:lineRule="auto"/>
        <w:rPr>
          <w:b/>
          <w:szCs w:val="24"/>
        </w:rPr>
      </w:pPr>
      <w:r w:rsidRPr="00896A20">
        <w:rPr>
          <w:b/>
          <w:szCs w:val="24"/>
        </w:rPr>
        <w:lastRenderedPageBreak/>
        <w:t>Таблица 2. Сбережения и инвестиции населения.</w:t>
      </w:r>
    </w:p>
    <w:tbl>
      <w:tblPr>
        <w:tblW w:w="12980" w:type="dxa"/>
        <w:tblLook w:val="0000"/>
      </w:tblPr>
      <w:tblGrid>
        <w:gridCol w:w="2780"/>
        <w:gridCol w:w="589"/>
        <w:gridCol w:w="589"/>
        <w:gridCol w:w="740"/>
        <w:gridCol w:w="740"/>
        <w:gridCol w:w="742"/>
        <w:gridCol w:w="680"/>
        <w:gridCol w:w="680"/>
        <w:gridCol w:w="680"/>
        <w:gridCol w:w="680"/>
        <w:gridCol w:w="680"/>
        <w:gridCol w:w="680"/>
        <w:gridCol w:w="680"/>
        <w:gridCol w:w="680"/>
        <w:gridCol w:w="680"/>
        <w:gridCol w:w="680"/>
      </w:tblGrid>
      <w:tr w:rsidR="00896A20" w:rsidRPr="00896A20" w:rsidTr="00896A20">
        <w:trPr>
          <w:trHeight w:val="25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tcPr>
          <w:p w:rsidR="00896A20" w:rsidRPr="00896A20" w:rsidRDefault="00896A20" w:rsidP="00896A20">
            <w:pPr>
              <w:spacing w:after="0" w:line="240" w:lineRule="auto"/>
              <w:rPr>
                <w:b/>
                <w:bCs/>
                <w:sz w:val="20"/>
                <w:szCs w:val="20"/>
              </w:rPr>
            </w:pPr>
            <w:r w:rsidRPr="00896A20">
              <w:rPr>
                <w:b/>
                <w:bCs/>
                <w:sz w:val="20"/>
                <w:szCs w:val="20"/>
              </w:rPr>
              <w:t> </w:t>
            </w:r>
          </w:p>
        </w:tc>
        <w:tc>
          <w:tcPr>
            <w:tcW w:w="3400" w:type="dxa"/>
            <w:gridSpan w:val="5"/>
            <w:tcBorders>
              <w:top w:val="single" w:sz="4" w:space="0" w:color="auto"/>
              <w:left w:val="nil"/>
              <w:bottom w:val="single" w:sz="4" w:space="0" w:color="auto"/>
              <w:right w:val="single" w:sz="4" w:space="0" w:color="auto"/>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Сумма вкладов населения в учреждениях банков на душу населения (тыс. сум).</w:t>
            </w:r>
          </w:p>
        </w:tc>
        <w:tc>
          <w:tcPr>
            <w:tcW w:w="3400" w:type="dxa"/>
            <w:gridSpan w:val="5"/>
            <w:tcBorders>
              <w:top w:val="single" w:sz="4" w:space="0" w:color="auto"/>
              <w:left w:val="nil"/>
              <w:bottom w:val="single" w:sz="4" w:space="0" w:color="auto"/>
              <w:right w:val="single" w:sz="4" w:space="0" w:color="auto"/>
            </w:tcBorders>
            <w:shd w:val="clear" w:color="auto" w:fill="auto"/>
            <w:vAlign w:val="bottom"/>
          </w:tcPr>
          <w:p w:rsidR="00896A20" w:rsidRPr="00896A20" w:rsidRDefault="00896A20" w:rsidP="00627631">
            <w:pPr>
              <w:spacing w:after="0" w:line="240" w:lineRule="auto"/>
              <w:jc w:val="center"/>
              <w:rPr>
                <w:b/>
                <w:bCs/>
                <w:sz w:val="20"/>
                <w:szCs w:val="20"/>
              </w:rPr>
            </w:pPr>
            <w:r w:rsidRPr="00896A20">
              <w:rPr>
                <w:b/>
                <w:bCs/>
                <w:sz w:val="20"/>
                <w:szCs w:val="20"/>
              </w:rPr>
              <w:t xml:space="preserve">Инвестиций в </w:t>
            </w:r>
            <w:r w:rsidR="00627631">
              <w:rPr>
                <w:b/>
                <w:bCs/>
                <w:sz w:val="20"/>
                <w:szCs w:val="20"/>
              </w:rPr>
              <w:t>основной капитал</w:t>
            </w:r>
            <w:r w:rsidRPr="00896A20">
              <w:rPr>
                <w:b/>
                <w:bCs/>
                <w:sz w:val="20"/>
                <w:szCs w:val="20"/>
              </w:rPr>
              <w:t xml:space="preserve"> за счет населения  на одного жителя (тыс. сум).</w:t>
            </w:r>
          </w:p>
        </w:tc>
        <w:tc>
          <w:tcPr>
            <w:tcW w:w="3400" w:type="dxa"/>
            <w:gridSpan w:val="5"/>
            <w:tcBorders>
              <w:top w:val="single" w:sz="4" w:space="0" w:color="auto"/>
              <w:left w:val="nil"/>
              <w:bottom w:val="single" w:sz="4" w:space="0" w:color="auto"/>
              <w:right w:val="single" w:sz="4" w:space="0" w:color="auto"/>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Инвестиции в жилищное строительство, на душу населения тыс.сум.</w:t>
            </w:r>
          </w:p>
        </w:tc>
      </w:tr>
      <w:tr w:rsidR="00896A20" w:rsidRPr="00896A20" w:rsidTr="00896A20">
        <w:trPr>
          <w:trHeight w:val="52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b/>
                <w:bCs/>
                <w:sz w:val="20"/>
                <w:szCs w:val="20"/>
              </w:rPr>
            </w:pPr>
            <w:r w:rsidRPr="00896A20">
              <w:rPr>
                <w:b/>
                <w:bCs/>
                <w:sz w:val="20"/>
                <w:szCs w:val="20"/>
              </w:rPr>
              <w:t>Регионы</w:t>
            </w:r>
          </w:p>
        </w:tc>
        <w:tc>
          <w:tcPr>
            <w:tcW w:w="589"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right"/>
              <w:rPr>
                <w:b/>
                <w:bCs/>
                <w:sz w:val="20"/>
                <w:szCs w:val="20"/>
              </w:rPr>
            </w:pPr>
            <w:r w:rsidRPr="00896A20">
              <w:rPr>
                <w:b/>
                <w:bCs/>
                <w:sz w:val="20"/>
                <w:szCs w:val="20"/>
              </w:rPr>
              <w:t>2004</w:t>
            </w:r>
          </w:p>
        </w:tc>
        <w:tc>
          <w:tcPr>
            <w:tcW w:w="589"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right"/>
              <w:rPr>
                <w:b/>
                <w:bCs/>
                <w:sz w:val="20"/>
                <w:szCs w:val="20"/>
              </w:rPr>
            </w:pPr>
            <w:r w:rsidRPr="00896A20">
              <w:rPr>
                <w:b/>
                <w:bCs/>
                <w:sz w:val="20"/>
                <w:szCs w:val="20"/>
              </w:rPr>
              <w:t>2005</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right"/>
              <w:rPr>
                <w:b/>
                <w:bCs/>
                <w:sz w:val="20"/>
                <w:szCs w:val="20"/>
              </w:rPr>
            </w:pPr>
            <w:r w:rsidRPr="00896A20">
              <w:rPr>
                <w:b/>
                <w:bCs/>
                <w:sz w:val="20"/>
                <w:szCs w:val="20"/>
              </w:rPr>
              <w:t>2006</w:t>
            </w:r>
          </w:p>
        </w:tc>
        <w:tc>
          <w:tcPr>
            <w:tcW w:w="740"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right"/>
              <w:rPr>
                <w:b/>
                <w:bCs/>
                <w:sz w:val="20"/>
                <w:szCs w:val="20"/>
              </w:rPr>
            </w:pPr>
            <w:r w:rsidRPr="00896A20">
              <w:rPr>
                <w:b/>
                <w:bCs/>
                <w:sz w:val="20"/>
                <w:szCs w:val="20"/>
              </w:rPr>
              <w:t>2007</w:t>
            </w:r>
          </w:p>
        </w:tc>
        <w:tc>
          <w:tcPr>
            <w:tcW w:w="742"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right"/>
              <w:rPr>
                <w:b/>
                <w:bCs/>
                <w:sz w:val="20"/>
                <w:szCs w:val="20"/>
              </w:rPr>
            </w:pPr>
            <w:r w:rsidRPr="00896A20">
              <w:rPr>
                <w:b/>
                <w:bCs/>
                <w:sz w:val="20"/>
                <w:szCs w:val="20"/>
              </w:rPr>
              <w:t>2008</w:t>
            </w:r>
          </w:p>
        </w:tc>
        <w:tc>
          <w:tcPr>
            <w:tcW w:w="680"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right"/>
              <w:rPr>
                <w:b/>
                <w:bCs/>
                <w:sz w:val="20"/>
                <w:szCs w:val="20"/>
              </w:rPr>
            </w:pPr>
            <w:r w:rsidRPr="00896A20">
              <w:rPr>
                <w:b/>
                <w:bCs/>
                <w:sz w:val="20"/>
                <w:szCs w:val="20"/>
              </w:rPr>
              <w:t>2004</w:t>
            </w:r>
          </w:p>
        </w:tc>
        <w:tc>
          <w:tcPr>
            <w:tcW w:w="680"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right"/>
              <w:rPr>
                <w:b/>
                <w:bCs/>
                <w:sz w:val="20"/>
                <w:szCs w:val="20"/>
              </w:rPr>
            </w:pPr>
            <w:r w:rsidRPr="00896A20">
              <w:rPr>
                <w:b/>
                <w:bCs/>
                <w:sz w:val="20"/>
                <w:szCs w:val="20"/>
              </w:rPr>
              <w:t>2005</w:t>
            </w:r>
          </w:p>
        </w:tc>
        <w:tc>
          <w:tcPr>
            <w:tcW w:w="680"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right"/>
              <w:rPr>
                <w:b/>
                <w:bCs/>
                <w:sz w:val="20"/>
                <w:szCs w:val="20"/>
              </w:rPr>
            </w:pPr>
            <w:r w:rsidRPr="00896A20">
              <w:rPr>
                <w:b/>
                <w:bCs/>
                <w:sz w:val="20"/>
                <w:szCs w:val="20"/>
              </w:rPr>
              <w:t>2006</w:t>
            </w:r>
          </w:p>
        </w:tc>
        <w:tc>
          <w:tcPr>
            <w:tcW w:w="680"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right"/>
              <w:rPr>
                <w:b/>
                <w:bCs/>
                <w:sz w:val="20"/>
                <w:szCs w:val="20"/>
              </w:rPr>
            </w:pPr>
            <w:r w:rsidRPr="00896A20">
              <w:rPr>
                <w:b/>
                <w:bCs/>
                <w:sz w:val="20"/>
                <w:szCs w:val="20"/>
              </w:rPr>
              <w:t>2007</w:t>
            </w:r>
          </w:p>
        </w:tc>
        <w:tc>
          <w:tcPr>
            <w:tcW w:w="680"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right"/>
              <w:rPr>
                <w:b/>
                <w:bCs/>
                <w:sz w:val="20"/>
                <w:szCs w:val="20"/>
              </w:rPr>
            </w:pPr>
            <w:r w:rsidRPr="00896A20">
              <w:rPr>
                <w:b/>
                <w:bCs/>
                <w:sz w:val="20"/>
                <w:szCs w:val="20"/>
              </w:rPr>
              <w:t>2008</w:t>
            </w:r>
          </w:p>
        </w:tc>
        <w:tc>
          <w:tcPr>
            <w:tcW w:w="680"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right"/>
              <w:rPr>
                <w:b/>
                <w:bCs/>
                <w:sz w:val="20"/>
                <w:szCs w:val="20"/>
              </w:rPr>
            </w:pPr>
            <w:r w:rsidRPr="00896A20">
              <w:rPr>
                <w:b/>
                <w:bCs/>
                <w:sz w:val="20"/>
                <w:szCs w:val="20"/>
              </w:rPr>
              <w:t>2004</w:t>
            </w:r>
          </w:p>
        </w:tc>
        <w:tc>
          <w:tcPr>
            <w:tcW w:w="680"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right"/>
              <w:rPr>
                <w:b/>
                <w:bCs/>
                <w:sz w:val="20"/>
                <w:szCs w:val="20"/>
              </w:rPr>
            </w:pPr>
            <w:r w:rsidRPr="00896A20">
              <w:rPr>
                <w:b/>
                <w:bCs/>
                <w:sz w:val="20"/>
                <w:szCs w:val="20"/>
              </w:rPr>
              <w:t>2005</w:t>
            </w:r>
          </w:p>
        </w:tc>
        <w:tc>
          <w:tcPr>
            <w:tcW w:w="680"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right"/>
              <w:rPr>
                <w:b/>
                <w:bCs/>
                <w:sz w:val="20"/>
                <w:szCs w:val="20"/>
              </w:rPr>
            </w:pPr>
            <w:r w:rsidRPr="00896A20">
              <w:rPr>
                <w:b/>
                <w:bCs/>
                <w:sz w:val="20"/>
                <w:szCs w:val="20"/>
              </w:rPr>
              <w:t>2006</w:t>
            </w:r>
          </w:p>
        </w:tc>
        <w:tc>
          <w:tcPr>
            <w:tcW w:w="680"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right"/>
              <w:rPr>
                <w:b/>
                <w:bCs/>
                <w:sz w:val="20"/>
                <w:szCs w:val="20"/>
              </w:rPr>
            </w:pPr>
            <w:r w:rsidRPr="00896A20">
              <w:rPr>
                <w:b/>
                <w:bCs/>
                <w:sz w:val="20"/>
                <w:szCs w:val="20"/>
              </w:rPr>
              <w:t>2007</w:t>
            </w:r>
          </w:p>
        </w:tc>
        <w:tc>
          <w:tcPr>
            <w:tcW w:w="680"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right"/>
              <w:rPr>
                <w:b/>
                <w:bCs/>
                <w:sz w:val="20"/>
                <w:szCs w:val="20"/>
              </w:rPr>
            </w:pPr>
            <w:r w:rsidRPr="00896A20">
              <w:rPr>
                <w:b/>
                <w:bCs/>
                <w:sz w:val="20"/>
                <w:szCs w:val="20"/>
              </w:rPr>
              <w:t>2008</w:t>
            </w:r>
          </w:p>
        </w:tc>
      </w:tr>
      <w:tr w:rsidR="00896A20" w:rsidRPr="00896A20" w:rsidTr="00896A2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Республика Каракалпакстан</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5.0  </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7.6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13.7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15.7  </w:t>
            </w:r>
          </w:p>
        </w:tc>
        <w:tc>
          <w:tcPr>
            <w:tcW w:w="74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24.7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10.5</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14.7</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25.1</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10.4</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7.4</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9.1</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17.6</w:t>
            </w:r>
          </w:p>
        </w:tc>
      </w:tr>
      <w:tr w:rsidR="00896A20" w:rsidRPr="00896A20" w:rsidTr="00896A2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Андижанская область</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7.9  </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11.9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16.7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18.8  </w:t>
            </w:r>
          </w:p>
        </w:tc>
        <w:tc>
          <w:tcPr>
            <w:tcW w:w="74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24.4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9.9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16.2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24.2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31.1</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9.1</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17.7</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25.5</w:t>
            </w:r>
          </w:p>
        </w:tc>
      </w:tr>
      <w:tr w:rsidR="00896A20" w:rsidRPr="00896A20" w:rsidTr="00896A2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Бухарская область</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11.3  </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15.0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25.3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29.6  </w:t>
            </w:r>
          </w:p>
        </w:tc>
        <w:tc>
          <w:tcPr>
            <w:tcW w:w="74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42.2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16.5</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19.9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26.8</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34.6</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43.8</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13.8</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17.3</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31.5</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38.5</w:t>
            </w:r>
          </w:p>
        </w:tc>
      </w:tr>
      <w:tr w:rsidR="00896A20" w:rsidRPr="00896A20" w:rsidTr="00896A2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Джизакская область</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4.5  </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7.8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10.8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11.9  </w:t>
            </w:r>
          </w:p>
        </w:tc>
        <w:tc>
          <w:tcPr>
            <w:tcW w:w="74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17.7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23.3</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16.7</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23.8</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32.5</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48.9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13.6</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14.5</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19.9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25.3</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36.5</w:t>
            </w:r>
          </w:p>
        </w:tc>
      </w:tr>
      <w:tr w:rsidR="00896A20" w:rsidRPr="00896A20" w:rsidTr="00896A2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Кашкадарьинская область</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6.8  </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7.3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10.7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16.6  </w:t>
            </w:r>
          </w:p>
        </w:tc>
        <w:tc>
          <w:tcPr>
            <w:tcW w:w="74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23.8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17.9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22.1</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26.4</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31.3</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38.8</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17</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20.4</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27.5</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38.1</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38.2</w:t>
            </w:r>
          </w:p>
        </w:tc>
      </w:tr>
      <w:tr w:rsidR="00896A20" w:rsidRPr="00896A20" w:rsidTr="00896A2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Навоийская область</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16.2  </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26.9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43.4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61.2  </w:t>
            </w:r>
          </w:p>
        </w:tc>
        <w:tc>
          <w:tcPr>
            <w:tcW w:w="74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84.8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20.0</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22.0</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26.9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36.3</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43.7</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18.9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28.5</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32.4</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39.1</w:t>
            </w:r>
          </w:p>
        </w:tc>
      </w:tr>
      <w:tr w:rsidR="00896A20" w:rsidRPr="00896A20" w:rsidTr="00896A2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Наманганская область</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4.8  </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5.7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9.2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12.7  </w:t>
            </w:r>
          </w:p>
        </w:tc>
        <w:tc>
          <w:tcPr>
            <w:tcW w:w="74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14.7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11.0</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16.4</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24.1</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33.8</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47.3</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10.1</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15.2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18.4</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24.8</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35.6</w:t>
            </w:r>
          </w:p>
        </w:tc>
      </w:tr>
      <w:tr w:rsidR="00896A20" w:rsidRPr="00896A20" w:rsidTr="00896A2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Самаркандская область</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6.7  </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8.6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13.4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19.1  </w:t>
            </w:r>
          </w:p>
        </w:tc>
        <w:tc>
          <w:tcPr>
            <w:tcW w:w="74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26.7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17.1</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19.9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24.8</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31.9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38.5</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12.8</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13.8</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21.3</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28.9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36</w:t>
            </w:r>
          </w:p>
        </w:tc>
      </w:tr>
      <w:tr w:rsidR="00896A20" w:rsidRPr="00896A20" w:rsidTr="00896A2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Сурхандарьинская область</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5.6  </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7.6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11.8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13.1  </w:t>
            </w:r>
          </w:p>
        </w:tc>
        <w:tc>
          <w:tcPr>
            <w:tcW w:w="74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19.3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14.7</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14.5</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22.8</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26.8</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31.1</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13.3</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17.8</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21.7</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25.4</w:t>
            </w:r>
          </w:p>
        </w:tc>
      </w:tr>
      <w:tr w:rsidR="00896A20" w:rsidRPr="00896A20" w:rsidTr="00896A2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Сырдарьинская область</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5.8  </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9.1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13.1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18.0  </w:t>
            </w:r>
          </w:p>
        </w:tc>
        <w:tc>
          <w:tcPr>
            <w:tcW w:w="74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26.0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16.7</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17.9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25.9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28.5</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53.9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12.4</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11.7</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23.6</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32</w:t>
            </w:r>
          </w:p>
        </w:tc>
      </w:tr>
      <w:tr w:rsidR="00896A20" w:rsidRPr="00896A20" w:rsidTr="00896A2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Ташкентская область</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9.2  </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13.5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21.8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32.9  </w:t>
            </w:r>
          </w:p>
        </w:tc>
        <w:tc>
          <w:tcPr>
            <w:tcW w:w="74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45.1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13.6</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16.5</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31.9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33.9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9.4</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12.7</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15.8</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20.1</w:t>
            </w:r>
          </w:p>
        </w:tc>
      </w:tr>
      <w:tr w:rsidR="00896A20" w:rsidRPr="00896A20" w:rsidTr="00896A2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Ферганская область</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5.7  </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8.4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13.6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18.5  </w:t>
            </w:r>
          </w:p>
        </w:tc>
        <w:tc>
          <w:tcPr>
            <w:tcW w:w="74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26.4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11.6</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14.7</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19.6</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33.0</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7.6</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8.5</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11.3</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15.4</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23</w:t>
            </w:r>
          </w:p>
        </w:tc>
      </w:tr>
      <w:tr w:rsidR="00896A20" w:rsidRPr="00896A20" w:rsidTr="00896A2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Хорезмская область</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8.6  </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16.7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22.9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32.4  </w:t>
            </w:r>
          </w:p>
        </w:tc>
        <w:tc>
          <w:tcPr>
            <w:tcW w:w="74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46.3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12.6</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15.5</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23.9</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31.4</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37.7</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11.4</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13.7</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21.7</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29.2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34.2</w:t>
            </w:r>
          </w:p>
        </w:tc>
      </w:tr>
      <w:tr w:rsidR="00896A20" w:rsidRPr="00896A20" w:rsidTr="00896A2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Город Ташкент</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66.7  </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93.4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127.7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189.2  </w:t>
            </w:r>
          </w:p>
        </w:tc>
        <w:tc>
          <w:tcPr>
            <w:tcW w:w="74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 xml:space="preserve">247.3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9.2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12.1</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19.2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27.4</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43.1</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8.4</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18.4</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36</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57.6</w:t>
            </w:r>
          </w:p>
        </w:tc>
      </w:tr>
      <w:tr w:rsidR="00896A20" w:rsidRPr="00896A20" w:rsidTr="00896A20">
        <w:trPr>
          <w:trHeight w:val="255"/>
        </w:trPr>
        <w:tc>
          <w:tcPr>
            <w:tcW w:w="2780"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Республика Узбекистан</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 </w:t>
            </w:r>
          </w:p>
        </w:tc>
        <w:tc>
          <w:tcPr>
            <w:tcW w:w="58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 </w:t>
            </w:r>
          </w:p>
        </w:tc>
        <w:tc>
          <w:tcPr>
            <w:tcW w:w="74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 </w:t>
            </w:r>
          </w:p>
        </w:tc>
        <w:tc>
          <w:tcPr>
            <w:tcW w:w="742"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 </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11.5</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13.2</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18</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24.7</w:t>
            </w:r>
          </w:p>
        </w:tc>
        <w:tc>
          <w:tcPr>
            <w:tcW w:w="680"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32.2</w:t>
            </w:r>
          </w:p>
        </w:tc>
      </w:tr>
    </w:tbl>
    <w:p w:rsidR="00896A20" w:rsidRPr="00896A20" w:rsidRDefault="00896A20" w:rsidP="00896A20">
      <w:pPr>
        <w:spacing w:after="0" w:line="240" w:lineRule="auto"/>
        <w:rPr>
          <w:sz w:val="20"/>
          <w:szCs w:val="20"/>
        </w:rPr>
      </w:pPr>
    </w:p>
    <w:p w:rsidR="00896A20" w:rsidRDefault="00896A20">
      <w:pPr>
        <w:rPr>
          <w:b/>
          <w:szCs w:val="24"/>
        </w:rPr>
      </w:pPr>
      <w:r>
        <w:rPr>
          <w:b/>
          <w:szCs w:val="24"/>
        </w:rPr>
        <w:br w:type="page"/>
      </w:r>
    </w:p>
    <w:p w:rsidR="00896A20" w:rsidRPr="00896A20" w:rsidRDefault="00896A20" w:rsidP="00896A20">
      <w:pPr>
        <w:spacing w:after="0" w:line="240" w:lineRule="auto"/>
        <w:rPr>
          <w:b/>
          <w:szCs w:val="24"/>
        </w:rPr>
      </w:pPr>
      <w:r w:rsidRPr="00896A20">
        <w:rPr>
          <w:b/>
          <w:szCs w:val="24"/>
        </w:rPr>
        <w:lastRenderedPageBreak/>
        <w:t>Таблица 3. Показатели образования.</w:t>
      </w:r>
    </w:p>
    <w:tbl>
      <w:tblPr>
        <w:tblW w:w="14498" w:type="dxa"/>
        <w:tblInd w:w="-34" w:type="dxa"/>
        <w:tblLook w:val="0000"/>
      </w:tblPr>
      <w:tblGrid>
        <w:gridCol w:w="2287"/>
        <w:gridCol w:w="489"/>
        <w:gridCol w:w="489"/>
        <w:gridCol w:w="489"/>
        <w:gridCol w:w="489"/>
        <w:gridCol w:w="489"/>
        <w:gridCol w:w="489"/>
        <w:gridCol w:w="489"/>
        <w:gridCol w:w="489"/>
        <w:gridCol w:w="489"/>
        <w:gridCol w:w="489"/>
        <w:gridCol w:w="489"/>
        <w:gridCol w:w="488"/>
        <w:gridCol w:w="488"/>
        <w:gridCol w:w="488"/>
        <w:gridCol w:w="488"/>
        <w:gridCol w:w="488"/>
        <w:gridCol w:w="488"/>
        <w:gridCol w:w="488"/>
        <w:gridCol w:w="488"/>
        <w:gridCol w:w="488"/>
        <w:gridCol w:w="488"/>
        <w:gridCol w:w="488"/>
        <w:gridCol w:w="488"/>
        <w:gridCol w:w="488"/>
        <w:gridCol w:w="488"/>
      </w:tblGrid>
      <w:tr w:rsidR="00896A20" w:rsidRPr="00896A20" w:rsidTr="00896A20">
        <w:trPr>
          <w:trHeight w:val="1065"/>
        </w:trPr>
        <w:tc>
          <w:tcPr>
            <w:tcW w:w="2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 </w:t>
            </w:r>
          </w:p>
        </w:tc>
        <w:tc>
          <w:tcPr>
            <w:tcW w:w="2445" w:type="dxa"/>
            <w:gridSpan w:val="5"/>
            <w:tcBorders>
              <w:top w:val="single" w:sz="4" w:space="0" w:color="auto"/>
              <w:left w:val="nil"/>
              <w:bottom w:val="single" w:sz="4" w:space="0" w:color="auto"/>
              <w:right w:val="single" w:sz="4" w:space="0" w:color="000000"/>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Доля населения старше 25 лет, имеющего высшее образование, %</w:t>
            </w:r>
          </w:p>
        </w:tc>
        <w:tc>
          <w:tcPr>
            <w:tcW w:w="2445" w:type="dxa"/>
            <w:gridSpan w:val="5"/>
            <w:tcBorders>
              <w:top w:val="single" w:sz="4" w:space="0" w:color="auto"/>
              <w:left w:val="nil"/>
              <w:bottom w:val="single" w:sz="4" w:space="0" w:color="auto"/>
              <w:right w:val="single" w:sz="4" w:space="0" w:color="auto"/>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Доля учителей общеобразовательных школ, имеющих высшее образование, %</w:t>
            </w:r>
          </w:p>
        </w:tc>
        <w:tc>
          <w:tcPr>
            <w:tcW w:w="2441" w:type="dxa"/>
            <w:gridSpan w:val="5"/>
            <w:tcBorders>
              <w:top w:val="single" w:sz="4" w:space="0" w:color="auto"/>
              <w:left w:val="nil"/>
              <w:bottom w:val="single" w:sz="4" w:space="0" w:color="auto"/>
              <w:right w:val="single" w:sz="4" w:space="0" w:color="000000"/>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 xml:space="preserve">Доля преподавателей ССПУЗов, имеющих высшее образование, % </w:t>
            </w:r>
          </w:p>
        </w:tc>
        <w:tc>
          <w:tcPr>
            <w:tcW w:w="2440" w:type="dxa"/>
            <w:gridSpan w:val="5"/>
            <w:tcBorders>
              <w:top w:val="single" w:sz="4" w:space="0" w:color="auto"/>
              <w:left w:val="nil"/>
              <w:bottom w:val="single" w:sz="4" w:space="0" w:color="auto"/>
              <w:right w:val="single" w:sz="4" w:space="0" w:color="000000"/>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 xml:space="preserve">Доля преподавателей ВУЗов, имеющих степени, % </w:t>
            </w:r>
          </w:p>
        </w:tc>
        <w:tc>
          <w:tcPr>
            <w:tcW w:w="2440" w:type="dxa"/>
            <w:gridSpan w:val="5"/>
            <w:tcBorders>
              <w:top w:val="single" w:sz="4" w:space="0" w:color="auto"/>
              <w:left w:val="nil"/>
              <w:bottom w:val="single" w:sz="4" w:space="0" w:color="auto"/>
              <w:right w:val="single" w:sz="4" w:space="0" w:color="auto"/>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Охват детей в возрасте 1-6 лет дошкольными учреждениями, %</w:t>
            </w:r>
          </w:p>
        </w:tc>
      </w:tr>
      <w:tr w:rsidR="00896A20" w:rsidRPr="00896A20" w:rsidTr="00896A20">
        <w:trPr>
          <w:trHeight w:val="961"/>
        </w:trPr>
        <w:tc>
          <w:tcPr>
            <w:tcW w:w="2287"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center"/>
              <w:rPr>
                <w:b/>
                <w:bCs/>
                <w:sz w:val="20"/>
                <w:szCs w:val="20"/>
              </w:rPr>
            </w:pPr>
            <w:r w:rsidRPr="00896A20">
              <w:rPr>
                <w:b/>
                <w:bCs/>
                <w:sz w:val="20"/>
                <w:szCs w:val="20"/>
              </w:rPr>
              <w:t>Регионы</w:t>
            </w:r>
          </w:p>
        </w:tc>
        <w:tc>
          <w:tcPr>
            <w:tcW w:w="489" w:type="dxa"/>
            <w:tcBorders>
              <w:top w:val="nil"/>
              <w:left w:val="nil"/>
              <w:bottom w:val="single" w:sz="4" w:space="0" w:color="auto"/>
              <w:right w:val="single" w:sz="4" w:space="0" w:color="auto"/>
            </w:tcBorders>
            <w:shd w:val="clear" w:color="auto" w:fill="auto"/>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2004</w:t>
            </w:r>
          </w:p>
        </w:tc>
        <w:tc>
          <w:tcPr>
            <w:tcW w:w="489" w:type="dxa"/>
            <w:tcBorders>
              <w:top w:val="nil"/>
              <w:left w:val="nil"/>
              <w:bottom w:val="single" w:sz="4" w:space="0" w:color="auto"/>
              <w:right w:val="single" w:sz="4" w:space="0" w:color="auto"/>
            </w:tcBorders>
            <w:shd w:val="clear" w:color="auto" w:fill="auto"/>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2005</w:t>
            </w:r>
          </w:p>
        </w:tc>
        <w:tc>
          <w:tcPr>
            <w:tcW w:w="489" w:type="dxa"/>
            <w:tcBorders>
              <w:top w:val="nil"/>
              <w:left w:val="nil"/>
              <w:bottom w:val="single" w:sz="4" w:space="0" w:color="auto"/>
              <w:right w:val="single" w:sz="4" w:space="0" w:color="auto"/>
            </w:tcBorders>
            <w:shd w:val="clear" w:color="auto" w:fill="auto"/>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2006</w:t>
            </w:r>
          </w:p>
        </w:tc>
        <w:tc>
          <w:tcPr>
            <w:tcW w:w="489" w:type="dxa"/>
            <w:tcBorders>
              <w:top w:val="nil"/>
              <w:left w:val="nil"/>
              <w:bottom w:val="single" w:sz="4" w:space="0" w:color="auto"/>
              <w:right w:val="single" w:sz="4" w:space="0" w:color="auto"/>
            </w:tcBorders>
            <w:shd w:val="clear" w:color="auto" w:fill="auto"/>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2007</w:t>
            </w:r>
          </w:p>
        </w:tc>
        <w:tc>
          <w:tcPr>
            <w:tcW w:w="489" w:type="dxa"/>
            <w:tcBorders>
              <w:top w:val="nil"/>
              <w:left w:val="nil"/>
              <w:bottom w:val="single" w:sz="4" w:space="0" w:color="auto"/>
              <w:right w:val="single" w:sz="4" w:space="0" w:color="auto"/>
            </w:tcBorders>
            <w:shd w:val="clear" w:color="auto" w:fill="auto"/>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2008</w:t>
            </w:r>
          </w:p>
        </w:tc>
        <w:tc>
          <w:tcPr>
            <w:tcW w:w="489"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2004/05</w:t>
            </w:r>
          </w:p>
        </w:tc>
        <w:tc>
          <w:tcPr>
            <w:tcW w:w="489"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2005/06</w:t>
            </w:r>
          </w:p>
        </w:tc>
        <w:tc>
          <w:tcPr>
            <w:tcW w:w="489"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2006/07</w:t>
            </w:r>
          </w:p>
        </w:tc>
        <w:tc>
          <w:tcPr>
            <w:tcW w:w="489"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2007/08</w:t>
            </w:r>
          </w:p>
        </w:tc>
        <w:tc>
          <w:tcPr>
            <w:tcW w:w="489"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2008/09</w:t>
            </w:r>
          </w:p>
        </w:tc>
        <w:tc>
          <w:tcPr>
            <w:tcW w:w="489"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2004/05</w:t>
            </w:r>
          </w:p>
        </w:tc>
        <w:tc>
          <w:tcPr>
            <w:tcW w:w="488"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2005/06</w:t>
            </w:r>
          </w:p>
        </w:tc>
        <w:tc>
          <w:tcPr>
            <w:tcW w:w="488"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2006/07</w:t>
            </w:r>
          </w:p>
        </w:tc>
        <w:tc>
          <w:tcPr>
            <w:tcW w:w="488"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2007/08</w:t>
            </w:r>
          </w:p>
        </w:tc>
        <w:tc>
          <w:tcPr>
            <w:tcW w:w="488"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2008/09</w:t>
            </w:r>
            <w:r w:rsidR="00CC3137">
              <w:rPr>
                <w:b/>
                <w:bCs/>
                <w:sz w:val="20"/>
                <w:szCs w:val="20"/>
              </w:rPr>
              <w:t>*</w:t>
            </w:r>
          </w:p>
        </w:tc>
        <w:tc>
          <w:tcPr>
            <w:tcW w:w="488"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2004/05</w:t>
            </w:r>
          </w:p>
        </w:tc>
        <w:tc>
          <w:tcPr>
            <w:tcW w:w="488"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2005/06</w:t>
            </w:r>
          </w:p>
        </w:tc>
        <w:tc>
          <w:tcPr>
            <w:tcW w:w="488"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2006/07</w:t>
            </w:r>
          </w:p>
        </w:tc>
        <w:tc>
          <w:tcPr>
            <w:tcW w:w="488"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2007/08</w:t>
            </w:r>
          </w:p>
        </w:tc>
        <w:tc>
          <w:tcPr>
            <w:tcW w:w="488"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CC3137">
            <w:pPr>
              <w:spacing w:after="0" w:line="240" w:lineRule="auto"/>
              <w:rPr>
                <w:b/>
                <w:bCs/>
                <w:sz w:val="20"/>
                <w:szCs w:val="20"/>
              </w:rPr>
            </w:pPr>
            <w:r w:rsidRPr="00896A20">
              <w:rPr>
                <w:b/>
                <w:bCs/>
                <w:sz w:val="20"/>
                <w:szCs w:val="20"/>
              </w:rPr>
              <w:t>2008/09</w:t>
            </w:r>
            <w:r w:rsidR="00CC3137">
              <w:rPr>
                <w:b/>
                <w:bCs/>
                <w:sz w:val="20"/>
                <w:szCs w:val="20"/>
              </w:rPr>
              <w:t>*</w:t>
            </w:r>
          </w:p>
        </w:tc>
        <w:tc>
          <w:tcPr>
            <w:tcW w:w="488"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2004</w:t>
            </w:r>
          </w:p>
        </w:tc>
        <w:tc>
          <w:tcPr>
            <w:tcW w:w="488"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2005</w:t>
            </w:r>
          </w:p>
        </w:tc>
        <w:tc>
          <w:tcPr>
            <w:tcW w:w="488"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2006</w:t>
            </w:r>
          </w:p>
        </w:tc>
        <w:tc>
          <w:tcPr>
            <w:tcW w:w="488"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2007</w:t>
            </w:r>
          </w:p>
        </w:tc>
        <w:tc>
          <w:tcPr>
            <w:tcW w:w="488"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rPr>
                <w:b/>
                <w:bCs/>
                <w:sz w:val="20"/>
                <w:szCs w:val="20"/>
              </w:rPr>
            </w:pPr>
            <w:r w:rsidRPr="00896A20">
              <w:rPr>
                <w:b/>
                <w:bCs/>
                <w:sz w:val="20"/>
                <w:szCs w:val="20"/>
              </w:rPr>
              <w:t>2008</w:t>
            </w:r>
          </w:p>
        </w:tc>
      </w:tr>
      <w:tr w:rsidR="00896A20" w:rsidRPr="00896A20" w:rsidTr="00896A20">
        <w:trPr>
          <w:trHeight w:val="255"/>
        </w:trPr>
        <w:tc>
          <w:tcPr>
            <w:tcW w:w="2287"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Республика Каракалпакстан</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11.3</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9.4</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11.6</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13.9</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12.1</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60.1</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61.6</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61.8</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62.3</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62.8</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93.9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94.4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94.5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93.7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94.1</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31.2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25.3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30.2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30.2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29.2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18.1</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16.9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16.8</w:t>
            </w:r>
          </w:p>
        </w:tc>
      </w:tr>
      <w:tr w:rsidR="00896A20" w:rsidRPr="00896A20" w:rsidTr="00896A20">
        <w:trPr>
          <w:trHeight w:val="255"/>
        </w:trPr>
        <w:tc>
          <w:tcPr>
            <w:tcW w:w="2287"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Андижанская область</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8.3</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7.4</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10.2</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7.9</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9.6</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70.4</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70.3</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67.4</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68.7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71.6</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90.3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91.9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90.8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71.7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86.2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38.7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38.4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40.0</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40.2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39.3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17.9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17.9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18.2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14.7</w:t>
            </w:r>
          </w:p>
        </w:tc>
      </w:tr>
      <w:tr w:rsidR="00896A20" w:rsidRPr="00896A20" w:rsidTr="00896A20">
        <w:trPr>
          <w:trHeight w:val="255"/>
        </w:trPr>
        <w:tc>
          <w:tcPr>
            <w:tcW w:w="2287"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Бухарская область</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11.1</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11.3</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9</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12</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11.7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79.1</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79.4</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79.4</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76.6</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74.5</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93.1</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93.4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94.8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94.3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93.9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37.0</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40.3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39.9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40.5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39.4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18.8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17.8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17.4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16.8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15.2</w:t>
            </w:r>
          </w:p>
        </w:tc>
      </w:tr>
      <w:tr w:rsidR="00896A20" w:rsidRPr="00896A20" w:rsidTr="00896A20">
        <w:trPr>
          <w:trHeight w:val="255"/>
        </w:trPr>
        <w:tc>
          <w:tcPr>
            <w:tcW w:w="2287"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Джизакская область</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12</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12.4</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14.4</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11.5</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12.2</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70.9</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71.5</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70.1</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72.6</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75</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87.6</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88.1</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89.1</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89.5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88.6</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38.2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34.7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31.4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28.2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33.1</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21.4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19.3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18.5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18.4</w:t>
            </w:r>
          </w:p>
        </w:tc>
      </w:tr>
      <w:tr w:rsidR="00896A20" w:rsidRPr="00896A20" w:rsidTr="00896A20">
        <w:trPr>
          <w:trHeight w:val="255"/>
        </w:trPr>
        <w:tc>
          <w:tcPr>
            <w:tcW w:w="2287"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Кашкадарьинская область</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9.9</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8.5</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11.3</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14.1</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12.3</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63.8</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64.4</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66.4</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65.9</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60.7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90.7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92.9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92.8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86.5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90.7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39.9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39.5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40.8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40.9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40.3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10</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9.6</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9.6</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9.3</w:t>
            </w:r>
          </w:p>
        </w:tc>
      </w:tr>
      <w:tr w:rsidR="00896A20" w:rsidRPr="00896A20" w:rsidTr="00896A20">
        <w:trPr>
          <w:trHeight w:val="255"/>
        </w:trPr>
        <w:tc>
          <w:tcPr>
            <w:tcW w:w="2287"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Навоийская область</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10.9</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9.9</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8.9</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13.4</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12.3</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72.9</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73.4</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72.8</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74.6</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77.1</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82.1</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89.0</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88.5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89.0</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87.2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19.6</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23.5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23.2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25.7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23.0</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25.4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26.4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25.8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24.1</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21.5</w:t>
            </w:r>
          </w:p>
        </w:tc>
      </w:tr>
      <w:tr w:rsidR="00896A20" w:rsidRPr="00896A20" w:rsidTr="00896A20">
        <w:trPr>
          <w:trHeight w:val="255"/>
        </w:trPr>
        <w:tc>
          <w:tcPr>
            <w:tcW w:w="2287"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Наманганская область</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9.2</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8.5</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7.6</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10.4</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8.5</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66.8</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68.1</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73.8</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69.7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70.6</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89.2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87.5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87.8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91.7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89.0</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24.2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33.9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22.2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35.2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28.8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20.4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21</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20.4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19.6</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18.5</w:t>
            </w:r>
          </w:p>
        </w:tc>
      </w:tr>
      <w:tr w:rsidR="00896A20" w:rsidRPr="00896A20" w:rsidTr="00896A20">
        <w:trPr>
          <w:trHeight w:val="255"/>
        </w:trPr>
        <w:tc>
          <w:tcPr>
            <w:tcW w:w="2287"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Самаркандская область</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11.3</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10.6</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11.8</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13</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14.7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67.5</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66.7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67.8</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68.7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70.8</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90.8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90.3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90.5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89.3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90.2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54.0</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49.6</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47.0</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45.5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49.0</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12.5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12.2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11.9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12.1</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11.6</w:t>
            </w:r>
          </w:p>
        </w:tc>
      </w:tr>
      <w:tr w:rsidR="00896A20" w:rsidRPr="00896A20" w:rsidTr="00896A20">
        <w:trPr>
          <w:trHeight w:val="255"/>
        </w:trPr>
        <w:tc>
          <w:tcPr>
            <w:tcW w:w="2287"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Сурхандарьинская область</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10.5</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9.9</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9.3</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9.1</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7.7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61.7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58.5</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56.5</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56.2</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55.2</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92.4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95.8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95.3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95.9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94.9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27.5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27.8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27.7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26.5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27.4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11.2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11.3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10.8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10.6</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10</w:t>
            </w:r>
          </w:p>
        </w:tc>
      </w:tr>
      <w:tr w:rsidR="00896A20" w:rsidRPr="00896A20" w:rsidTr="00896A20">
        <w:trPr>
          <w:trHeight w:val="255"/>
        </w:trPr>
        <w:tc>
          <w:tcPr>
            <w:tcW w:w="2287"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Сырдарьинская область</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12.2</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16.5</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10.4</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12</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10.1</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71.7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72.2</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72</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73.5</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74.5</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89.5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88.6</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86.6</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91.2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89.0</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35.4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32.2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32.1</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32.0</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32.9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19.1</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20.6</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19.5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18.4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17.7</w:t>
            </w:r>
          </w:p>
        </w:tc>
      </w:tr>
      <w:tr w:rsidR="00896A20" w:rsidRPr="00896A20" w:rsidTr="00896A20">
        <w:trPr>
          <w:trHeight w:val="255"/>
        </w:trPr>
        <w:tc>
          <w:tcPr>
            <w:tcW w:w="2287"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Ташкентская область</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12.9</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10.4</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11.6</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10.6</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12</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67.1</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68.6</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67.9</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69.4</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87.2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87.2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90.5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88.0</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88.2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31.7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34.5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33.6</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33.8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33.4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20.8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20.8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21.3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21.2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18.7</w:t>
            </w:r>
          </w:p>
        </w:tc>
      </w:tr>
      <w:tr w:rsidR="00896A20" w:rsidRPr="00896A20" w:rsidTr="00896A20">
        <w:trPr>
          <w:trHeight w:val="255"/>
        </w:trPr>
        <w:tc>
          <w:tcPr>
            <w:tcW w:w="2287"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Ферганская область</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9.7</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8.8</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9.6</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8.4</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9.3</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69.7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67.4</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67.7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70</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69.5</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86.8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89.5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91.1</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93.2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90.1</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32.2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32.7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33.2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29.8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32.0</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25.3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24.8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23.4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22.2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19.5</w:t>
            </w:r>
          </w:p>
        </w:tc>
      </w:tr>
      <w:tr w:rsidR="00896A20" w:rsidRPr="00896A20" w:rsidTr="00896A20">
        <w:trPr>
          <w:trHeight w:val="255"/>
        </w:trPr>
        <w:tc>
          <w:tcPr>
            <w:tcW w:w="2287"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Хорезмская область</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10.6</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8.7</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7.1</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11.8</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9.4</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73.1</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71.7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72.7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73.3</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73.3</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91.0</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92.4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95.6</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95.7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93.7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34.8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36.8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38.9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34.3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36.2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15.5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14.4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14.3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13.4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12.2</w:t>
            </w:r>
          </w:p>
        </w:tc>
      </w:tr>
      <w:tr w:rsidR="00896A20" w:rsidRPr="00896A20" w:rsidTr="00896A20">
        <w:trPr>
          <w:trHeight w:val="255"/>
        </w:trPr>
        <w:tc>
          <w:tcPr>
            <w:tcW w:w="2287"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Город Ташкент</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29.2</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33.5</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28.6</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29.1</w:t>
            </w:r>
          </w:p>
        </w:tc>
        <w:tc>
          <w:tcPr>
            <w:tcW w:w="489" w:type="dxa"/>
            <w:tcBorders>
              <w:top w:val="nil"/>
              <w:left w:val="nil"/>
              <w:bottom w:val="single" w:sz="4" w:space="0" w:color="auto"/>
              <w:right w:val="single" w:sz="4" w:space="0" w:color="auto"/>
            </w:tcBorders>
            <w:shd w:val="clear" w:color="auto" w:fill="auto"/>
            <w:vAlign w:val="center"/>
          </w:tcPr>
          <w:p w:rsidR="00896A20" w:rsidRPr="00896A20" w:rsidRDefault="00896A20" w:rsidP="00896A20">
            <w:pPr>
              <w:spacing w:after="0" w:line="240" w:lineRule="auto"/>
              <w:jc w:val="center"/>
              <w:rPr>
                <w:sz w:val="14"/>
                <w:szCs w:val="14"/>
              </w:rPr>
            </w:pPr>
            <w:r w:rsidRPr="00896A20">
              <w:rPr>
                <w:sz w:val="14"/>
                <w:szCs w:val="14"/>
              </w:rPr>
              <w:t>31.1</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83.1</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84.7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85.8</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87.3</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87.9</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93.5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91.9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94.3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93.7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93.3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39.5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37.6</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37.4</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38.2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38.2</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50.7</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49.9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50.5</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49.6</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46.2</w:t>
            </w:r>
          </w:p>
        </w:tc>
      </w:tr>
      <w:tr w:rsidR="00896A20" w:rsidRPr="00896A20" w:rsidTr="00896A20">
        <w:trPr>
          <w:trHeight w:val="255"/>
        </w:trPr>
        <w:tc>
          <w:tcPr>
            <w:tcW w:w="2287"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Республика Узбекистан</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12.7</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12.1</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12.2</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13</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13</w:t>
            </w: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p>
        </w:tc>
        <w:tc>
          <w:tcPr>
            <w:tcW w:w="489"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19.3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19</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18.8</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18.3</w:t>
            </w:r>
          </w:p>
        </w:tc>
        <w:tc>
          <w:tcPr>
            <w:tcW w:w="488" w:type="dxa"/>
            <w:tcBorders>
              <w:top w:val="nil"/>
              <w:left w:val="nil"/>
              <w:bottom w:val="single" w:sz="4" w:space="0" w:color="auto"/>
              <w:right w:val="single" w:sz="4" w:space="0" w:color="auto"/>
            </w:tcBorders>
            <w:shd w:val="clear" w:color="auto" w:fill="auto"/>
            <w:noWrap/>
            <w:vAlign w:val="center"/>
          </w:tcPr>
          <w:p w:rsidR="00896A20" w:rsidRPr="00896A20" w:rsidRDefault="00896A20" w:rsidP="00896A20">
            <w:pPr>
              <w:spacing w:after="0" w:line="240" w:lineRule="auto"/>
              <w:jc w:val="center"/>
              <w:rPr>
                <w:sz w:val="14"/>
                <w:szCs w:val="14"/>
              </w:rPr>
            </w:pPr>
            <w:r w:rsidRPr="00896A20">
              <w:rPr>
                <w:sz w:val="14"/>
                <w:szCs w:val="14"/>
              </w:rPr>
              <w:t>17</w:t>
            </w:r>
          </w:p>
        </w:tc>
      </w:tr>
    </w:tbl>
    <w:p w:rsidR="00CC3137" w:rsidRPr="00896A20" w:rsidRDefault="00CC3137" w:rsidP="00CC3137">
      <w:pPr>
        <w:spacing w:after="0" w:line="240" w:lineRule="auto"/>
        <w:rPr>
          <w:sz w:val="20"/>
          <w:szCs w:val="20"/>
        </w:rPr>
      </w:pPr>
      <w:r>
        <w:rPr>
          <w:sz w:val="20"/>
          <w:szCs w:val="20"/>
        </w:rPr>
        <w:t>*Рассчитано как среднее значение за предыдущие 4 года.</w:t>
      </w:r>
    </w:p>
    <w:p w:rsidR="00896A20" w:rsidRPr="00896A20" w:rsidRDefault="00896A20" w:rsidP="00896A20">
      <w:pPr>
        <w:spacing w:after="0" w:line="240" w:lineRule="auto"/>
        <w:rPr>
          <w:sz w:val="20"/>
          <w:szCs w:val="20"/>
        </w:rPr>
      </w:pPr>
    </w:p>
    <w:p w:rsidR="00896A20" w:rsidRDefault="00896A20">
      <w:pPr>
        <w:rPr>
          <w:b/>
          <w:szCs w:val="24"/>
        </w:rPr>
      </w:pPr>
      <w:r>
        <w:rPr>
          <w:b/>
          <w:szCs w:val="24"/>
        </w:rPr>
        <w:br w:type="page"/>
      </w:r>
    </w:p>
    <w:p w:rsidR="00896A20" w:rsidRPr="00896A20" w:rsidRDefault="00896A20" w:rsidP="00896A20">
      <w:pPr>
        <w:spacing w:after="0" w:line="240" w:lineRule="auto"/>
        <w:rPr>
          <w:b/>
          <w:szCs w:val="24"/>
        </w:rPr>
      </w:pPr>
      <w:r w:rsidRPr="00896A20">
        <w:rPr>
          <w:b/>
          <w:szCs w:val="24"/>
        </w:rPr>
        <w:lastRenderedPageBreak/>
        <w:t>Таблица 4. Заболеваемость некоторыми инфекционными заболеваниями на 100 тыс. населения.</w:t>
      </w:r>
    </w:p>
    <w:p w:rsidR="00896A20" w:rsidRPr="00896A20" w:rsidRDefault="00896A20" w:rsidP="00896A20">
      <w:pPr>
        <w:spacing w:after="0" w:line="240" w:lineRule="auto"/>
        <w:rPr>
          <w:sz w:val="20"/>
          <w:szCs w:val="20"/>
        </w:rPr>
      </w:pPr>
    </w:p>
    <w:tbl>
      <w:tblPr>
        <w:tblW w:w="12526" w:type="dxa"/>
        <w:tblLook w:val="0000"/>
      </w:tblPr>
      <w:tblGrid>
        <w:gridCol w:w="3036"/>
        <w:gridCol w:w="666"/>
        <w:gridCol w:w="666"/>
        <w:gridCol w:w="666"/>
        <w:gridCol w:w="666"/>
        <w:gridCol w:w="666"/>
        <w:gridCol w:w="566"/>
        <w:gridCol w:w="566"/>
        <w:gridCol w:w="566"/>
        <w:gridCol w:w="566"/>
        <w:gridCol w:w="566"/>
        <w:gridCol w:w="666"/>
        <w:gridCol w:w="666"/>
        <w:gridCol w:w="666"/>
        <w:gridCol w:w="666"/>
        <w:gridCol w:w="666"/>
      </w:tblGrid>
      <w:tr w:rsidR="00896A20" w:rsidRPr="00896A20" w:rsidTr="00896A20">
        <w:trPr>
          <w:trHeight w:val="675"/>
        </w:trPr>
        <w:tc>
          <w:tcPr>
            <w:tcW w:w="3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b/>
                <w:bCs/>
                <w:sz w:val="20"/>
                <w:szCs w:val="20"/>
              </w:rPr>
            </w:pPr>
            <w:r w:rsidRPr="00896A20">
              <w:rPr>
                <w:b/>
                <w:bCs/>
                <w:sz w:val="20"/>
                <w:szCs w:val="20"/>
              </w:rPr>
              <w:t> </w:t>
            </w:r>
          </w:p>
        </w:tc>
        <w:tc>
          <w:tcPr>
            <w:tcW w:w="3330" w:type="dxa"/>
            <w:gridSpan w:val="5"/>
            <w:tcBorders>
              <w:top w:val="single" w:sz="4" w:space="0" w:color="auto"/>
              <w:left w:val="nil"/>
              <w:bottom w:val="single" w:sz="4" w:space="0" w:color="auto"/>
              <w:right w:val="single" w:sz="4" w:space="0" w:color="auto"/>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 xml:space="preserve">Заболеваемость вирусными гепатитами на 100 тыс. населения </w:t>
            </w:r>
          </w:p>
        </w:tc>
        <w:tc>
          <w:tcPr>
            <w:tcW w:w="2830" w:type="dxa"/>
            <w:gridSpan w:val="5"/>
            <w:tcBorders>
              <w:top w:val="single" w:sz="4" w:space="0" w:color="auto"/>
              <w:left w:val="nil"/>
              <w:bottom w:val="single" w:sz="4" w:space="0" w:color="auto"/>
              <w:right w:val="single" w:sz="4" w:space="0" w:color="auto"/>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Заболеваемость населения бактериальной дизентерией на 100 тыс. населения</w:t>
            </w:r>
          </w:p>
        </w:tc>
        <w:tc>
          <w:tcPr>
            <w:tcW w:w="3330" w:type="dxa"/>
            <w:gridSpan w:val="5"/>
            <w:tcBorders>
              <w:top w:val="single" w:sz="4" w:space="0" w:color="auto"/>
              <w:left w:val="nil"/>
              <w:bottom w:val="single" w:sz="4" w:space="0" w:color="auto"/>
              <w:right w:val="single" w:sz="4" w:space="0" w:color="000000"/>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Заболеваемость активным туберкулезом (с диагнозом, установленным впервые),  на 100 тыс. чел.</w:t>
            </w:r>
          </w:p>
        </w:tc>
      </w:tr>
      <w:tr w:rsidR="00896A20" w:rsidRPr="00896A20" w:rsidTr="00896A20">
        <w:trPr>
          <w:trHeight w:val="795"/>
        </w:trPr>
        <w:tc>
          <w:tcPr>
            <w:tcW w:w="3036"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b/>
                <w:bCs/>
                <w:sz w:val="20"/>
                <w:szCs w:val="20"/>
              </w:rPr>
            </w:pPr>
            <w:r w:rsidRPr="00896A20">
              <w:rPr>
                <w:b/>
                <w:bCs/>
                <w:sz w:val="20"/>
                <w:szCs w:val="20"/>
              </w:rPr>
              <w:t>Регионы</w:t>
            </w:r>
          </w:p>
        </w:tc>
        <w:tc>
          <w:tcPr>
            <w:tcW w:w="6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2004</w:t>
            </w:r>
          </w:p>
        </w:tc>
        <w:tc>
          <w:tcPr>
            <w:tcW w:w="6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2005</w:t>
            </w:r>
          </w:p>
        </w:tc>
        <w:tc>
          <w:tcPr>
            <w:tcW w:w="6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2006</w:t>
            </w:r>
          </w:p>
        </w:tc>
        <w:tc>
          <w:tcPr>
            <w:tcW w:w="6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2007</w:t>
            </w:r>
          </w:p>
        </w:tc>
        <w:tc>
          <w:tcPr>
            <w:tcW w:w="6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2008</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2004</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2005</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2006</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2007</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2008</w:t>
            </w:r>
          </w:p>
        </w:tc>
        <w:tc>
          <w:tcPr>
            <w:tcW w:w="6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2004</w:t>
            </w:r>
          </w:p>
        </w:tc>
        <w:tc>
          <w:tcPr>
            <w:tcW w:w="6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2005</w:t>
            </w:r>
          </w:p>
        </w:tc>
        <w:tc>
          <w:tcPr>
            <w:tcW w:w="6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2006</w:t>
            </w:r>
          </w:p>
        </w:tc>
        <w:tc>
          <w:tcPr>
            <w:tcW w:w="6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2007</w:t>
            </w:r>
          </w:p>
        </w:tc>
        <w:tc>
          <w:tcPr>
            <w:tcW w:w="6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2008</w:t>
            </w:r>
          </w:p>
        </w:tc>
      </w:tr>
      <w:tr w:rsidR="00896A20" w:rsidRPr="00896A20" w:rsidTr="00896A20">
        <w:trPr>
          <w:trHeight w:val="255"/>
        </w:trPr>
        <w:tc>
          <w:tcPr>
            <w:tcW w:w="3036"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Республика Каракалпакстан</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126.7</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109.2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114.9</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121.2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177.7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16.7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18.5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20.9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18.9</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122.5</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137.6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120.9</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135.9</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119.1</w:t>
            </w:r>
          </w:p>
        </w:tc>
      </w:tr>
      <w:tr w:rsidR="00896A20" w:rsidRPr="00896A20" w:rsidTr="00896A20">
        <w:trPr>
          <w:trHeight w:val="255"/>
        </w:trPr>
        <w:tc>
          <w:tcPr>
            <w:tcW w:w="3036"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Андижанская область</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126.7</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109.2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103.2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118</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112.3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2.0</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79.2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71.2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62.8</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61.7</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56.2</w:t>
            </w:r>
          </w:p>
        </w:tc>
      </w:tr>
      <w:tr w:rsidR="00896A20" w:rsidRPr="00896A20" w:rsidTr="00896A20">
        <w:trPr>
          <w:trHeight w:val="255"/>
        </w:trPr>
        <w:tc>
          <w:tcPr>
            <w:tcW w:w="3036"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Бухарская область</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122.2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80.2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95.6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74.2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61.5</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68.3</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57.6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51.5</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47.7</w:t>
            </w:r>
          </w:p>
        </w:tc>
      </w:tr>
      <w:tr w:rsidR="00896A20" w:rsidRPr="00896A20" w:rsidTr="00896A20">
        <w:trPr>
          <w:trHeight w:val="255"/>
        </w:trPr>
        <w:tc>
          <w:tcPr>
            <w:tcW w:w="3036"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Джизакская область</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133.1</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100.3</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112.5</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153.4</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112.7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16.4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14.0</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73.2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70.3</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83.5</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65</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73.7</w:t>
            </w:r>
          </w:p>
        </w:tc>
      </w:tr>
      <w:tr w:rsidR="00896A20" w:rsidRPr="00896A20" w:rsidTr="00896A20">
        <w:trPr>
          <w:trHeight w:val="255"/>
        </w:trPr>
        <w:tc>
          <w:tcPr>
            <w:tcW w:w="3036"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Кашкадарьинская область</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83.1</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68.4</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75.6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79.5</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46.2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2.0</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92.7</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95.7</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82.9</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67.5</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62.4</w:t>
            </w:r>
          </w:p>
        </w:tc>
      </w:tr>
      <w:tr w:rsidR="00896A20" w:rsidRPr="00896A20" w:rsidTr="00896A20">
        <w:trPr>
          <w:trHeight w:val="255"/>
        </w:trPr>
        <w:tc>
          <w:tcPr>
            <w:tcW w:w="3036"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Навоийская область</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85.2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83.1</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114.1</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200.2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38.4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36.6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30.4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35.4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36.3</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85.6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77.4</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80</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79.8</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83.4</w:t>
            </w:r>
          </w:p>
        </w:tc>
      </w:tr>
      <w:tr w:rsidR="00896A20" w:rsidRPr="00896A20" w:rsidTr="00896A20">
        <w:trPr>
          <w:trHeight w:val="255"/>
        </w:trPr>
        <w:tc>
          <w:tcPr>
            <w:tcW w:w="3036"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Наманганская область</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157.9</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125.6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129.9</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187</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139.1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76.3</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75.7</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68.1</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71.1</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69.5</w:t>
            </w:r>
          </w:p>
        </w:tc>
      </w:tr>
      <w:tr w:rsidR="00896A20" w:rsidRPr="00896A20" w:rsidTr="00896A20">
        <w:trPr>
          <w:trHeight w:val="255"/>
        </w:trPr>
        <w:tc>
          <w:tcPr>
            <w:tcW w:w="3036"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Самаркандская область</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141.2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110.4</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104.3</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107.8</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121.3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4.0</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2.5</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60</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59.8</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58</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58.2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55.1</w:t>
            </w:r>
          </w:p>
        </w:tc>
      </w:tr>
      <w:tr w:rsidR="00896A20" w:rsidRPr="00896A20" w:rsidTr="00896A20">
        <w:trPr>
          <w:trHeight w:val="255"/>
        </w:trPr>
        <w:tc>
          <w:tcPr>
            <w:tcW w:w="3036"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Сурхандарьинская область</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71.4</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108.1</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84.1</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87.3</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118.3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3.0</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66.3</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66.2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57.4</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57.1</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52.3</w:t>
            </w:r>
          </w:p>
        </w:tc>
      </w:tr>
      <w:tr w:rsidR="00896A20" w:rsidRPr="00896A20" w:rsidTr="00896A20">
        <w:trPr>
          <w:trHeight w:val="255"/>
        </w:trPr>
        <w:tc>
          <w:tcPr>
            <w:tcW w:w="3036"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Сырдарьинская область</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224.3</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125</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176.6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219.7</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158.4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9.1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9.9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10.6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9.0</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68.9</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71.9</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63.2</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66.9</w:t>
            </w:r>
          </w:p>
        </w:tc>
      </w:tr>
      <w:tr w:rsidR="00896A20" w:rsidRPr="00896A20" w:rsidTr="00896A20">
        <w:trPr>
          <w:trHeight w:val="255"/>
        </w:trPr>
        <w:tc>
          <w:tcPr>
            <w:tcW w:w="3036"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Ташкентская область</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247.9</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167.4</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167.4</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190.9</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145.9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38.4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54.4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44.2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47.9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46.4</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70.8</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75.6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74.8</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68</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68.2</w:t>
            </w:r>
          </w:p>
        </w:tc>
      </w:tr>
      <w:tr w:rsidR="00896A20" w:rsidRPr="00896A20" w:rsidTr="00896A20">
        <w:trPr>
          <w:trHeight w:val="255"/>
        </w:trPr>
        <w:tc>
          <w:tcPr>
            <w:tcW w:w="3036"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Ферганская область</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171.8</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146.1</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132.9</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137.6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128.1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24.3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22.1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17.9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17.5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13.8</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66.7</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66.9</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62.5</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56.6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54.8</w:t>
            </w:r>
          </w:p>
        </w:tc>
      </w:tr>
      <w:tr w:rsidR="00896A20" w:rsidRPr="00896A20" w:rsidTr="00896A20">
        <w:trPr>
          <w:trHeight w:val="255"/>
        </w:trPr>
        <w:tc>
          <w:tcPr>
            <w:tcW w:w="3036"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Хорезмская область</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83</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74.1</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73.8</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80.7</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82.2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2.0</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3.4</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64.4</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57.6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56.1</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56.1</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55</w:t>
            </w:r>
          </w:p>
        </w:tc>
      </w:tr>
      <w:tr w:rsidR="00896A20" w:rsidRPr="00896A20" w:rsidTr="00896A20">
        <w:trPr>
          <w:trHeight w:val="255"/>
        </w:trPr>
        <w:tc>
          <w:tcPr>
            <w:tcW w:w="3036"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Город Ташкент</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239.7</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168.3</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114.7</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133.8</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91.2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24.5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22.7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20.0</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9.7</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82.9</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78.4</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74.6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73.5</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73.1</w:t>
            </w:r>
          </w:p>
        </w:tc>
      </w:tr>
      <w:tr w:rsidR="00896A20" w:rsidRPr="00896A20" w:rsidTr="00896A20">
        <w:trPr>
          <w:trHeight w:val="255"/>
        </w:trPr>
        <w:tc>
          <w:tcPr>
            <w:tcW w:w="3036"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Республика Узбекистан</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145.9</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115.8</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112.9</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126.1</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125.2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14.6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12.8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11.5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13.1</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75.8</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76</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70.4</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67.5</w:t>
            </w:r>
          </w:p>
        </w:tc>
        <w:tc>
          <w:tcPr>
            <w:tcW w:w="6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20"/>
                <w:szCs w:val="20"/>
              </w:rPr>
            </w:pPr>
            <w:r w:rsidRPr="00896A20">
              <w:rPr>
                <w:sz w:val="20"/>
                <w:szCs w:val="20"/>
              </w:rPr>
              <w:t>64.7</w:t>
            </w:r>
          </w:p>
        </w:tc>
      </w:tr>
    </w:tbl>
    <w:p w:rsidR="00896A20" w:rsidRPr="00896A20" w:rsidRDefault="00896A20" w:rsidP="00896A20">
      <w:pPr>
        <w:spacing w:after="0" w:line="240" w:lineRule="auto"/>
        <w:rPr>
          <w:sz w:val="20"/>
          <w:szCs w:val="20"/>
        </w:rPr>
      </w:pPr>
    </w:p>
    <w:p w:rsidR="00896A20" w:rsidRDefault="00896A20">
      <w:pPr>
        <w:rPr>
          <w:b/>
          <w:szCs w:val="24"/>
        </w:rPr>
      </w:pPr>
      <w:r>
        <w:rPr>
          <w:b/>
          <w:szCs w:val="24"/>
        </w:rPr>
        <w:br w:type="page"/>
      </w:r>
    </w:p>
    <w:p w:rsidR="00896A20" w:rsidRPr="00896A20" w:rsidRDefault="00896A20" w:rsidP="00896A20">
      <w:pPr>
        <w:spacing w:after="0" w:line="240" w:lineRule="auto"/>
        <w:rPr>
          <w:b/>
          <w:szCs w:val="24"/>
        </w:rPr>
      </w:pPr>
      <w:r w:rsidRPr="00896A20">
        <w:rPr>
          <w:b/>
          <w:szCs w:val="24"/>
        </w:rPr>
        <w:lastRenderedPageBreak/>
        <w:t>Таблица 5. Ожидаемая продолжительность жизни при рождении .</w:t>
      </w:r>
    </w:p>
    <w:tbl>
      <w:tblPr>
        <w:tblW w:w="11540" w:type="dxa"/>
        <w:tblLook w:val="0000"/>
      </w:tblPr>
      <w:tblGrid>
        <w:gridCol w:w="2540"/>
        <w:gridCol w:w="600"/>
        <w:gridCol w:w="600"/>
        <w:gridCol w:w="600"/>
        <w:gridCol w:w="600"/>
        <w:gridCol w:w="600"/>
        <w:gridCol w:w="600"/>
        <w:gridCol w:w="600"/>
        <w:gridCol w:w="600"/>
        <w:gridCol w:w="600"/>
        <w:gridCol w:w="600"/>
        <w:gridCol w:w="600"/>
        <w:gridCol w:w="600"/>
        <w:gridCol w:w="600"/>
        <w:gridCol w:w="600"/>
        <w:gridCol w:w="600"/>
      </w:tblGrid>
      <w:tr w:rsidR="00896A20" w:rsidRPr="00896A20" w:rsidTr="00896A20">
        <w:trPr>
          <w:trHeight w:val="255"/>
        </w:trPr>
        <w:tc>
          <w:tcPr>
            <w:tcW w:w="2540" w:type="dxa"/>
            <w:tcBorders>
              <w:top w:val="single" w:sz="4" w:space="0" w:color="008080"/>
              <w:left w:val="single" w:sz="4" w:space="0" w:color="008080"/>
              <w:bottom w:val="nil"/>
              <w:right w:val="single" w:sz="4" w:space="0" w:color="008080"/>
            </w:tcBorders>
            <w:shd w:val="clear" w:color="auto" w:fill="FFFF00"/>
            <w:noWrap/>
            <w:vAlign w:val="bottom"/>
          </w:tcPr>
          <w:p w:rsidR="00896A20" w:rsidRPr="00896A20" w:rsidRDefault="00896A20" w:rsidP="00896A20">
            <w:pPr>
              <w:spacing w:after="0" w:line="240" w:lineRule="auto"/>
              <w:rPr>
                <w:b/>
                <w:bCs/>
                <w:color w:val="000000"/>
                <w:sz w:val="20"/>
                <w:szCs w:val="20"/>
              </w:rPr>
            </w:pPr>
            <w:r w:rsidRPr="00896A20">
              <w:rPr>
                <w:b/>
                <w:bCs/>
                <w:color w:val="000000"/>
                <w:sz w:val="20"/>
                <w:szCs w:val="20"/>
              </w:rPr>
              <w:t> </w:t>
            </w:r>
          </w:p>
        </w:tc>
        <w:tc>
          <w:tcPr>
            <w:tcW w:w="1800" w:type="dxa"/>
            <w:gridSpan w:val="3"/>
            <w:tcBorders>
              <w:top w:val="single" w:sz="4" w:space="0" w:color="008080"/>
              <w:left w:val="nil"/>
              <w:bottom w:val="single" w:sz="4" w:space="0" w:color="008080"/>
              <w:right w:val="single" w:sz="4" w:space="0" w:color="008080"/>
            </w:tcBorders>
            <w:shd w:val="clear" w:color="auto" w:fill="FFFF00"/>
            <w:noWrap/>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2004</w:t>
            </w:r>
          </w:p>
        </w:tc>
        <w:tc>
          <w:tcPr>
            <w:tcW w:w="1800" w:type="dxa"/>
            <w:gridSpan w:val="3"/>
            <w:tcBorders>
              <w:top w:val="single" w:sz="4" w:space="0" w:color="008080"/>
              <w:left w:val="nil"/>
              <w:bottom w:val="single" w:sz="4" w:space="0" w:color="008080"/>
              <w:right w:val="single" w:sz="4" w:space="0" w:color="008080"/>
            </w:tcBorders>
            <w:shd w:val="clear" w:color="auto" w:fill="FFFF00"/>
            <w:noWrap/>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2005</w:t>
            </w:r>
          </w:p>
        </w:tc>
        <w:tc>
          <w:tcPr>
            <w:tcW w:w="1800" w:type="dxa"/>
            <w:gridSpan w:val="3"/>
            <w:tcBorders>
              <w:top w:val="single" w:sz="4" w:space="0" w:color="008080"/>
              <w:left w:val="nil"/>
              <w:bottom w:val="single" w:sz="4" w:space="0" w:color="008080"/>
              <w:right w:val="single" w:sz="4" w:space="0" w:color="008080"/>
            </w:tcBorders>
            <w:shd w:val="clear" w:color="auto" w:fill="FFFF00"/>
            <w:noWrap/>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2006</w:t>
            </w:r>
          </w:p>
        </w:tc>
        <w:tc>
          <w:tcPr>
            <w:tcW w:w="1800" w:type="dxa"/>
            <w:gridSpan w:val="3"/>
            <w:tcBorders>
              <w:top w:val="single" w:sz="4" w:space="0" w:color="008080"/>
              <w:left w:val="nil"/>
              <w:bottom w:val="single" w:sz="4" w:space="0" w:color="008080"/>
              <w:right w:val="single" w:sz="4" w:space="0" w:color="008080"/>
            </w:tcBorders>
            <w:shd w:val="clear" w:color="auto" w:fill="FFFF00"/>
            <w:noWrap/>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2007</w:t>
            </w:r>
          </w:p>
        </w:tc>
        <w:tc>
          <w:tcPr>
            <w:tcW w:w="1800" w:type="dxa"/>
            <w:gridSpan w:val="3"/>
            <w:tcBorders>
              <w:top w:val="single" w:sz="4" w:space="0" w:color="008080"/>
              <w:left w:val="nil"/>
              <w:bottom w:val="single" w:sz="4" w:space="0" w:color="008080"/>
              <w:right w:val="single" w:sz="4" w:space="0" w:color="008080"/>
            </w:tcBorders>
            <w:shd w:val="clear" w:color="auto" w:fill="FFFF00"/>
            <w:noWrap/>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2008</w:t>
            </w:r>
          </w:p>
        </w:tc>
      </w:tr>
      <w:tr w:rsidR="00896A20" w:rsidRPr="00896A20" w:rsidTr="00896A20">
        <w:trPr>
          <w:trHeight w:val="1020"/>
        </w:trPr>
        <w:tc>
          <w:tcPr>
            <w:tcW w:w="2540" w:type="dxa"/>
            <w:tcBorders>
              <w:top w:val="nil"/>
              <w:left w:val="single" w:sz="4" w:space="0" w:color="008080"/>
              <w:bottom w:val="single" w:sz="4" w:space="0" w:color="008080"/>
              <w:right w:val="single" w:sz="4" w:space="0" w:color="008080"/>
            </w:tcBorders>
            <w:shd w:val="clear" w:color="auto" w:fill="FFFF00"/>
            <w:noWrap/>
            <w:vAlign w:val="bottom"/>
          </w:tcPr>
          <w:p w:rsidR="00896A20" w:rsidRPr="00896A20" w:rsidRDefault="00896A20" w:rsidP="00896A20">
            <w:pPr>
              <w:spacing w:after="0" w:line="240" w:lineRule="auto"/>
              <w:rPr>
                <w:b/>
                <w:bCs/>
                <w:color w:val="000000"/>
                <w:sz w:val="20"/>
                <w:szCs w:val="20"/>
              </w:rPr>
            </w:pPr>
            <w:r w:rsidRPr="00896A20">
              <w:rPr>
                <w:b/>
                <w:bCs/>
                <w:color w:val="000000"/>
                <w:sz w:val="20"/>
                <w:szCs w:val="20"/>
              </w:rPr>
              <w:t>Area Name</w:t>
            </w:r>
          </w:p>
        </w:tc>
        <w:tc>
          <w:tcPr>
            <w:tcW w:w="600" w:type="dxa"/>
            <w:tcBorders>
              <w:top w:val="nil"/>
              <w:left w:val="nil"/>
              <w:bottom w:val="single" w:sz="4" w:space="0" w:color="008080"/>
              <w:right w:val="nil"/>
            </w:tcBorders>
            <w:shd w:val="clear" w:color="auto" w:fill="FFFF00"/>
            <w:noWrap/>
            <w:textDirection w:val="btLr"/>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Оба пола</w:t>
            </w:r>
          </w:p>
        </w:tc>
        <w:tc>
          <w:tcPr>
            <w:tcW w:w="600" w:type="dxa"/>
            <w:tcBorders>
              <w:top w:val="nil"/>
              <w:left w:val="single" w:sz="4" w:space="0" w:color="008080"/>
              <w:bottom w:val="single" w:sz="4" w:space="0" w:color="008080"/>
              <w:right w:val="nil"/>
            </w:tcBorders>
            <w:shd w:val="clear" w:color="auto" w:fill="FFFF00"/>
            <w:noWrap/>
            <w:textDirection w:val="btLr"/>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Женщины</w:t>
            </w:r>
          </w:p>
        </w:tc>
        <w:tc>
          <w:tcPr>
            <w:tcW w:w="600" w:type="dxa"/>
            <w:tcBorders>
              <w:top w:val="nil"/>
              <w:left w:val="single" w:sz="4" w:space="0" w:color="008080"/>
              <w:bottom w:val="single" w:sz="4" w:space="0" w:color="008080"/>
              <w:right w:val="nil"/>
            </w:tcBorders>
            <w:shd w:val="clear" w:color="auto" w:fill="FFFF00"/>
            <w:noWrap/>
            <w:textDirection w:val="btLr"/>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Мужчины</w:t>
            </w:r>
          </w:p>
        </w:tc>
        <w:tc>
          <w:tcPr>
            <w:tcW w:w="600" w:type="dxa"/>
            <w:tcBorders>
              <w:top w:val="nil"/>
              <w:left w:val="single" w:sz="4" w:space="0" w:color="008080"/>
              <w:bottom w:val="single" w:sz="4" w:space="0" w:color="008080"/>
              <w:right w:val="nil"/>
            </w:tcBorders>
            <w:shd w:val="clear" w:color="auto" w:fill="FFFF00"/>
            <w:noWrap/>
            <w:textDirection w:val="btLr"/>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Оба пола</w:t>
            </w:r>
          </w:p>
        </w:tc>
        <w:tc>
          <w:tcPr>
            <w:tcW w:w="600" w:type="dxa"/>
            <w:tcBorders>
              <w:top w:val="nil"/>
              <w:left w:val="single" w:sz="4" w:space="0" w:color="008080"/>
              <w:bottom w:val="single" w:sz="4" w:space="0" w:color="008080"/>
              <w:right w:val="nil"/>
            </w:tcBorders>
            <w:shd w:val="clear" w:color="auto" w:fill="FFFF00"/>
            <w:noWrap/>
            <w:textDirection w:val="btLr"/>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Женщины</w:t>
            </w:r>
          </w:p>
        </w:tc>
        <w:tc>
          <w:tcPr>
            <w:tcW w:w="600" w:type="dxa"/>
            <w:tcBorders>
              <w:top w:val="nil"/>
              <w:left w:val="single" w:sz="4" w:space="0" w:color="008080"/>
              <w:bottom w:val="single" w:sz="4" w:space="0" w:color="008080"/>
              <w:right w:val="nil"/>
            </w:tcBorders>
            <w:shd w:val="clear" w:color="auto" w:fill="FFFF00"/>
            <w:noWrap/>
            <w:textDirection w:val="btLr"/>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Мужчины</w:t>
            </w:r>
          </w:p>
        </w:tc>
        <w:tc>
          <w:tcPr>
            <w:tcW w:w="600" w:type="dxa"/>
            <w:tcBorders>
              <w:top w:val="nil"/>
              <w:left w:val="single" w:sz="4" w:space="0" w:color="008080"/>
              <w:bottom w:val="single" w:sz="4" w:space="0" w:color="008080"/>
              <w:right w:val="nil"/>
            </w:tcBorders>
            <w:shd w:val="clear" w:color="auto" w:fill="FFFF00"/>
            <w:noWrap/>
            <w:textDirection w:val="btLr"/>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Оба пола</w:t>
            </w:r>
          </w:p>
        </w:tc>
        <w:tc>
          <w:tcPr>
            <w:tcW w:w="600" w:type="dxa"/>
            <w:tcBorders>
              <w:top w:val="nil"/>
              <w:left w:val="single" w:sz="4" w:space="0" w:color="008080"/>
              <w:bottom w:val="single" w:sz="4" w:space="0" w:color="008080"/>
              <w:right w:val="nil"/>
            </w:tcBorders>
            <w:shd w:val="clear" w:color="auto" w:fill="FFFF00"/>
            <w:noWrap/>
            <w:textDirection w:val="btLr"/>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Женщины</w:t>
            </w:r>
          </w:p>
        </w:tc>
        <w:tc>
          <w:tcPr>
            <w:tcW w:w="600" w:type="dxa"/>
            <w:tcBorders>
              <w:top w:val="nil"/>
              <w:left w:val="single" w:sz="4" w:space="0" w:color="008080"/>
              <w:bottom w:val="single" w:sz="4" w:space="0" w:color="008080"/>
              <w:right w:val="nil"/>
            </w:tcBorders>
            <w:shd w:val="clear" w:color="auto" w:fill="FFFF00"/>
            <w:noWrap/>
            <w:textDirection w:val="btLr"/>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Мужчины</w:t>
            </w:r>
          </w:p>
        </w:tc>
        <w:tc>
          <w:tcPr>
            <w:tcW w:w="600" w:type="dxa"/>
            <w:tcBorders>
              <w:top w:val="nil"/>
              <w:left w:val="single" w:sz="4" w:space="0" w:color="008080"/>
              <w:bottom w:val="single" w:sz="4" w:space="0" w:color="008080"/>
              <w:right w:val="nil"/>
            </w:tcBorders>
            <w:shd w:val="clear" w:color="auto" w:fill="FFFF00"/>
            <w:noWrap/>
            <w:textDirection w:val="btLr"/>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Оба пола</w:t>
            </w:r>
          </w:p>
        </w:tc>
        <w:tc>
          <w:tcPr>
            <w:tcW w:w="600" w:type="dxa"/>
            <w:tcBorders>
              <w:top w:val="nil"/>
              <w:left w:val="single" w:sz="4" w:space="0" w:color="008080"/>
              <w:bottom w:val="single" w:sz="4" w:space="0" w:color="008080"/>
              <w:right w:val="nil"/>
            </w:tcBorders>
            <w:shd w:val="clear" w:color="auto" w:fill="FFFF00"/>
            <w:noWrap/>
            <w:textDirection w:val="btLr"/>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Женщины</w:t>
            </w:r>
          </w:p>
        </w:tc>
        <w:tc>
          <w:tcPr>
            <w:tcW w:w="600" w:type="dxa"/>
            <w:tcBorders>
              <w:top w:val="nil"/>
              <w:left w:val="single" w:sz="4" w:space="0" w:color="008080"/>
              <w:bottom w:val="single" w:sz="4" w:space="0" w:color="008080"/>
              <w:right w:val="nil"/>
            </w:tcBorders>
            <w:shd w:val="clear" w:color="auto" w:fill="FFFF00"/>
            <w:noWrap/>
            <w:textDirection w:val="btLr"/>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Мужчины</w:t>
            </w:r>
          </w:p>
        </w:tc>
        <w:tc>
          <w:tcPr>
            <w:tcW w:w="600" w:type="dxa"/>
            <w:tcBorders>
              <w:top w:val="nil"/>
              <w:left w:val="single" w:sz="4" w:space="0" w:color="008080"/>
              <w:bottom w:val="single" w:sz="4" w:space="0" w:color="008080"/>
              <w:right w:val="nil"/>
            </w:tcBorders>
            <w:shd w:val="clear" w:color="auto" w:fill="FFFF00"/>
            <w:noWrap/>
            <w:textDirection w:val="btLr"/>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Оба пола</w:t>
            </w:r>
          </w:p>
        </w:tc>
        <w:tc>
          <w:tcPr>
            <w:tcW w:w="600" w:type="dxa"/>
            <w:tcBorders>
              <w:top w:val="nil"/>
              <w:left w:val="single" w:sz="4" w:space="0" w:color="008080"/>
              <w:bottom w:val="single" w:sz="4" w:space="0" w:color="008080"/>
              <w:right w:val="nil"/>
            </w:tcBorders>
            <w:shd w:val="clear" w:color="auto" w:fill="FFFF00"/>
            <w:noWrap/>
            <w:textDirection w:val="btLr"/>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Женщины</w:t>
            </w:r>
          </w:p>
        </w:tc>
        <w:tc>
          <w:tcPr>
            <w:tcW w:w="600" w:type="dxa"/>
            <w:tcBorders>
              <w:top w:val="nil"/>
              <w:left w:val="single" w:sz="4" w:space="0" w:color="008080"/>
              <w:bottom w:val="single" w:sz="4" w:space="0" w:color="008080"/>
              <w:right w:val="single" w:sz="4" w:space="0" w:color="008080"/>
            </w:tcBorders>
            <w:shd w:val="clear" w:color="auto" w:fill="FFFF00"/>
            <w:noWrap/>
            <w:textDirection w:val="btLr"/>
            <w:vAlign w:val="bottom"/>
          </w:tcPr>
          <w:p w:rsidR="00896A20" w:rsidRPr="00896A20" w:rsidRDefault="00896A20" w:rsidP="00896A20">
            <w:pPr>
              <w:spacing w:after="0" w:line="240" w:lineRule="auto"/>
              <w:jc w:val="center"/>
              <w:rPr>
                <w:b/>
                <w:bCs/>
                <w:color w:val="000000"/>
                <w:sz w:val="20"/>
                <w:szCs w:val="20"/>
              </w:rPr>
            </w:pPr>
            <w:r w:rsidRPr="00896A20">
              <w:rPr>
                <w:b/>
                <w:bCs/>
                <w:color w:val="000000"/>
                <w:sz w:val="20"/>
                <w:szCs w:val="20"/>
              </w:rPr>
              <w:t>Мужчины</w:t>
            </w:r>
          </w:p>
        </w:tc>
      </w:tr>
      <w:tr w:rsidR="00896A20" w:rsidRPr="00896A20" w:rsidTr="00896A20">
        <w:trPr>
          <w:trHeight w:val="255"/>
        </w:trPr>
        <w:tc>
          <w:tcPr>
            <w:tcW w:w="254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Республика Каракалпакстан</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69.2</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71.3</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67.1</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68.9</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70.8</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67.2</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68.7</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70.8</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66.7</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71.5</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67.3</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71.2</w:t>
            </w:r>
          </w:p>
        </w:tc>
        <w:tc>
          <w:tcPr>
            <w:tcW w:w="600" w:type="dxa"/>
            <w:tcBorders>
              <w:top w:val="nil"/>
              <w:left w:val="single" w:sz="4" w:space="0" w:color="008080"/>
              <w:bottom w:val="nil"/>
              <w:right w:val="single" w:sz="4" w:space="0" w:color="008080"/>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67.8</w:t>
            </w:r>
          </w:p>
        </w:tc>
      </w:tr>
      <w:tr w:rsidR="00896A20" w:rsidRPr="00896A20" w:rsidTr="00896A20">
        <w:trPr>
          <w:trHeight w:val="255"/>
        </w:trPr>
        <w:tc>
          <w:tcPr>
            <w:tcW w:w="254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Андижанская область</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71.3</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73.6</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69.1</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71.9</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73.8</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70.6</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72.7</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68.6</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72.3</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74.3</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70.3</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71.5</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73.6</w:t>
            </w:r>
          </w:p>
        </w:tc>
        <w:tc>
          <w:tcPr>
            <w:tcW w:w="600" w:type="dxa"/>
            <w:tcBorders>
              <w:top w:val="nil"/>
              <w:left w:val="single" w:sz="4" w:space="0" w:color="008080"/>
              <w:bottom w:val="nil"/>
              <w:right w:val="single" w:sz="4" w:space="0" w:color="008080"/>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69.7</w:t>
            </w:r>
          </w:p>
        </w:tc>
      </w:tr>
      <w:tr w:rsidR="00896A20" w:rsidRPr="00896A20" w:rsidTr="00896A20">
        <w:trPr>
          <w:trHeight w:val="255"/>
        </w:trPr>
        <w:tc>
          <w:tcPr>
            <w:tcW w:w="254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Бухарская область</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75</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71.7</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73.6</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75.4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71.8</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74.1</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70.8</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73.3</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75</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71.5</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73.1</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75.1</w:t>
            </w:r>
          </w:p>
        </w:tc>
        <w:tc>
          <w:tcPr>
            <w:tcW w:w="600" w:type="dxa"/>
            <w:tcBorders>
              <w:top w:val="nil"/>
              <w:left w:val="single" w:sz="4" w:space="0" w:color="008080"/>
              <w:bottom w:val="nil"/>
              <w:right w:val="single" w:sz="4" w:space="0" w:color="008080"/>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71.2</w:t>
            </w:r>
          </w:p>
        </w:tc>
      </w:tr>
      <w:tr w:rsidR="00896A20" w:rsidRPr="00896A20" w:rsidTr="00896A20">
        <w:trPr>
          <w:trHeight w:val="255"/>
        </w:trPr>
        <w:tc>
          <w:tcPr>
            <w:tcW w:w="254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Джизакская область</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74.4</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76.9</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72.1</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74.6</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77.3</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72.2</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73.8</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76.7</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71.1</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74.5</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77.5</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71.4</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74.5</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78.5</w:t>
            </w:r>
          </w:p>
        </w:tc>
        <w:tc>
          <w:tcPr>
            <w:tcW w:w="600" w:type="dxa"/>
            <w:tcBorders>
              <w:top w:val="nil"/>
              <w:left w:val="single" w:sz="4" w:space="0" w:color="008080"/>
              <w:bottom w:val="nil"/>
              <w:right w:val="single" w:sz="4" w:space="0" w:color="008080"/>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71.6</w:t>
            </w:r>
          </w:p>
        </w:tc>
      </w:tr>
      <w:tr w:rsidR="00896A20" w:rsidRPr="00896A20" w:rsidTr="00896A20">
        <w:trPr>
          <w:trHeight w:val="255"/>
        </w:trPr>
        <w:tc>
          <w:tcPr>
            <w:tcW w:w="254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Кашкадарьинская область</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74.2</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75.9</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72.5</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74.2</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76</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73.1</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75</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71.3</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76</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71.9</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73.9</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77</w:t>
            </w:r>
          </w:p>
        </w:tc>
        <w:tc>
          <w:tcPr>
            <w:tcW w:w="600" w:type="dxa"/>
            <w:tcBorders>
              <w:top w:val="nil"/>
              <w:left w:val="single" w:sz="4" w:space="0" w:color="008080"/>
              <w:bottom w:val="nil"/>
              <w:right w:val="single" w:sz="4" w:space="0" w:color="008080"/>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71.9</w:t>
            </w:r>
          </w:p>
        </w:tc>
      </w:tr>
      <w:tr w:rsidR="00896A20" w:rsidRPr="00896A20" w:rsidTr="00896A20">
        <w:trPr>
          <w:trHeight w:val="255"/>
        </w:trPr>
        <w:tc>
          <w:tcPr>
            <w:tcW w:w="254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Навоийская область</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71.2</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73.9</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69.4</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71.4</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73.7</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69.3</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70.9</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73.4</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68.6</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71.6</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74.2</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68.9</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74.1</w:t>
            </w:r>
          </w:p>
        </w:tc>
        <w:tc>
          <w:tcPr>
            <w:tcW w:w="600" w:type="dxa"/>
            <w:tcBorders>
              <w:top w:val="nil"/>
              <w:left w:val="single" w:sz="4" w:space="0" w:color="008080"/>
              <w:bottom w:val="nil"/>
              <w:right w:val="single" w:sz="4" w:space="0" w:color="008080"/>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70.2</w:t>
            </w:r>
          </w:p>
        </w:tc>
      </w:tr>
      <w:tr w:rsidR="00896A20" w:rsidRPr="00896A20" w:rsidTr="00896A20">
        <w:trPr>
          <w:trHeight w:val="255"/>
        </w:trPr>
        <w:tc>
          <w:tcPr>
            <w:tcW w:w="254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Наманганская область</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70.1</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74.6</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70.3</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71.6</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73.7</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69.6</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72.7</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74.3</w:t>
            </w:r>
          </w:p>
        </w:tc>
        <w:tc>
          <w:tcPr>
            <w:tcW w:w="600" w:type="dxa"/>
            <w:tcBorders>
              <w:top w:val="nil"/>
              <w:left w:val="single" w:sz="4" w:space="0" w:color="008080"/>
              <w:bottom w:val="nil"/>
              <w:right w:val="single" w:sz="4" w:space="0" w:color="008080"/>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71.2</w:t>
            </w:r>
          </w:p>
        </w:tc>
      </w:tr>
      <w:tr w:rsidR="00896A20" w:rsidRPr="00896A20" w:rsidTr="00896A20">
        <w:trPr>
          <w:trHeight w:val="255"/>
        </w:trPr>
        <w:tc>
          <w:tcPr>
            <w:tcW w:w="254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Самаркандская область</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71.8</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73.8</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69.9</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71.8</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73.9</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69.8</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71.2</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73.6</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68.9</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71.8</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74.2</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69.3</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71.8</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74.2</w:t>
            </w:r>
          </w:p>
        </w:tc>
        <w:tc>
          <w:tcPr>
            <w:tcW w:w="600" w:type="dxa"/>
            <w:tcBorders>
              <w:top w:val="nil"/>
              <w:left w:val="single" w:sz="4" w:space="0" w:color="008080"/>
              <w:bottom w:val="nil"/>
              <w:right w:val="single" w:sz="4" w:space="0" w:color="008080"/>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69.6</w:t>
            </w:r>
          </w:p>
        </w:tc>
      </w:tr>
      <w:tr w:rsidR="00896A20" w:rsidRPr="00896A20" w:rsidTr="00896A20">
        <w:trPr>
          <w:trHeight w:val="255"/>
        </w:trPr>
        <w:tc>
          <w:tcPr>
            <w:tcW w:w="254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Сурхандарьинская область</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73.5</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74.7</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72.2</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73.6</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74.8</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72.7</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74.6</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70.9</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75.8</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72.2</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74.5</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76.4</w:t>
            </w:r>
          </w:p>
        </w:tc>
        <w:tc>
          <w:tcPr>
            <w:tcW w:w="600" w:type="dxa"/>
            <w:tcBorders>
              <w:top w:val="nil"/>
              <w:left w:val="single" w:sz="4" w:space="0" w:color="008080"/>
              <w:bottom w:val="nil"/>
              <w:right w:val="single" w:sz="4" w:space="0" w:color="008080"/>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72.6</w:t>
            </w:r>
          </w:p>
        </w:tc>
      </w:tr>
      <w:tr w:rsidR="00896A20" w:rsidRPr="00896A20" w:rsidTr="00896A20">
        <w:trPr>
          <w:trHeight w:val="255"/>
        </w:trPr>
        <w:tc>
          <w:tcPr>
            <w:tcW w:w="254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Сырдарьинская область</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69.4</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71.5</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67.1</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69.1</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71.4</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66.9</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67.5</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69.8</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65.3</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69.2</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71.9</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66.5</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69.2</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71.3</w:t>
            </w:r>
          </w:p>
        </w:tc>
        <w:tc>
          <w:tcPr>
            <w:tcW w:w="600" w:type="dxa"/>
            <w:tcBorders>
              <w:top w:val="nil"/>
              <w:left w:val="single" w:sz="4" w:space="0" w:color="008080"/>
              <w:bottom w:val="nil"/>
              <w:right w:val="single" w:sz="4" w:space="0" w:color="008080"/>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67.2</w:t>
            </w:r>
          </w:p>
        </w:tc>
      </w:tr>
      <w:tr w:rsidR="00896A20" w:rsidRPr="00896A20" w:rsidTr="00896A20">
        <w:trPr>
          <w:trHeight w:val="255"/>
        </w:trPr>
        <w:tc>
          <w:tcPr>
            <w:tcW w:w="254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Ташкентская область</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70.5</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73.3</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67.4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70.1</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73.1</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67.1</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69.3</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72.7</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66</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70.3</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73.7</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66.9</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71.1</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74.4</w:t>
            </w:r>
          </w:p>
        </w:tc>
        <w:tc>
          <w:tcPr>
            <w:tcW w:w="600" w:type="dxa"/>
            <w:tcBorders>
              <w:top w:val="nil"/>
              <w:left w:val="single" w:sz="4" w:space="0" w:color="008080"/>
              <w:bottom w:val="nil"/>
              <w:right w:val="single" w:sz="4" w:space="0" w:color="008080"/>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67.9</w:t>
            </w:r>
          </w:p>
        </w:tc>
      </w:tr>
      <w:tr w:rsidR="00896A20" w:rsidRPr="00896A20" w:rsidTr="00896A20">
        <w:trPr>
          <w:trHeight w:val="255"/>
        </w:trPr>
        <w:tc>
          <w:tcPr>
            <w:tcW w:w="254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Ферганская область</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72.1</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74.1</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70.1</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72.5</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74.4</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70.6</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71.7</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73.9</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69.7</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72.5</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74.8</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70.2</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72.1</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74.5</w:t>
            </w:r>
          </w:p>
        </w:tc>
        <w:tc>
          <w:tcPr>
            <w:tcW w:w="600" w:type="dxa"/>
            <w:tcBorders>
              <w:top w:val="nil"/>
              <w:left w:val="single" w:sz="4" w:space="0" w:color="008080"/>
              <w:bottom w:val="nil"/>
              <w:right w:val="single" w:sz="4" w:space="0" w:color="008080"/>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69.8</w:t>
            </w:r>
          </w:p>
        </w:tc>
      </w:tr>
      <w:tr w:rsidR="00896A20" w:rsidRPr="00896A20" w:rsidTr="00896A20">
        <w:trPr>
          <w:trHeight w:val="255"/>
        </w:trPr>
        <w:tc>
          <w:tcPr>
            <w:tcW w:w="254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Хорезмская область</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74.3</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70.7</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72.6</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74.2</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70.9</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71.2</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73.6</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68.8</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72.1</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74.6</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69.6</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71.4</w:t>
            </w:r>
          </w:p>
        </w:tc>
        <w:tc>
          <w:tcPr>
            <w:tcW w:w="600" w:type="dxa"/>
            <w:tcBorders>
              <w:top w:val="nil"/>
              <w:left w:val="single" w:sz="4" w:space="0" w:color="008080"/>
              <w:bottom w:val="nil"/>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73.7</w:t>
            </w:r>
          </w:p>
        </w:tc>
        <w:tc>
          <w:tcPr>
            <w:tcW w:w="600" w:type="dxa"/>
            <w:tcBorders>
              <w:top w:val="nil"/>
              <w:left w:val="single" w:sz="4" w:space="0" w:color="008080"/>
              <w:bottom w:val="nil"/>
              <w:right w:val="single" w:sz="4" w:space="0" w:color="008080"/>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69.1</w:t>
            </w:r>
          </w:p>
        </w:tc>
      </w:tr>
      <w:tr w:rsidR="00896A20" w:rsidRPr="00896A20" w:rsidTr="00896A20">
        <w:trPr>
          <w:trHeight w:val="255"/>
        </w:trPr>
        <w:tc>
          <w:tcPr>
            <w:tcW w:w="254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Город Ташкент</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69.7</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73.8</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65.4</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69.9</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73.9</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65.7</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68.8</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73.2</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64.3</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70.4</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74.9</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65.8</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70.5</w:t>
            </w:r>
          </w:p>
        </w:tc>
        <w:tc>
          <w:tcPr>
            <w:tcW w:w="600" w:type="dxa"/>
            <w:tcBorders>
              <w:top w:val="nil"/>
              <w:left w:val="single" w:sz="4" w:space="0" w:color="008080"/>
              <w:bottom w:val="nil"/>
              <w:right w:val="nil"/>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74.4</w:t>
            </w:r>
          </w:p>
        </w:tc>
        <w:tc>
          <w:tcPr>
            <w:tcW w:w="600" w:type="dxa"/>
            <w:tcBorders>
              <w:top w:val="nil"/>
              <w:left w:val="single" w:sz="4" w:space="0" w:color="008080"/>
              <w:bottom w:val="nil"/>
              <w:right w:val="single" w:sz="4" w:space="0" w:color="008080"/>
            </w:tcBorders>
            <w:shd w:val="clear" w:color="auto" w:fill="FFFF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66.5</w:t>
            </w:r>
          </w:p>
        </w:tc>
      </w:tr>
      <w:tr w:rsidR="00896A20" w:rsidRPr="00896A20" w:rsidTr="00896A20">
        <w:trPr>
          <w:trHeight w:val="255"/>
        </w:trPr>
        <w:tc>
          <w:tcPr>
            <w:tcW w:w="2540" w:type="dxa"/>
            <w:tcBorders>
              <w:top w:val="nil"/>
              <w:left w:val="single" w:sz="4" w:space="0" w:color="008080"/>
              <w:bottom w:val="single" w:sz="4" w:space="0" w:color="008080"/>
              <w:right w:val="nil"/>
            </w:tcBorders>
            <w:shd w:val="clear" w:color="auto" w:fill="CCCCFF"/>
            <w:noWrap/>
            <w:vAlign w:val="bottom"/>
          </w:tcPr>
          <w:p w:rsidR="00896A20" w:rsidRPr="00896A20" w:rsidRDefault="00896A20" w:rsidP="00896A20">
            <w:pPr>
              <w:spacing w:after="0" w:line="240" w:lineRule="auto"/>
              <w:rPr>
                <w:color w:val="000000"/>
                <w:sz w:val="20"/>
                <w:szCs w:val="20"/>
              </w:rPr>
            </w:pPr>
            <w:r w:rsidRPr="00896A20">
              <w:rPr>
                <w:color w:val="000000"/>
                <w:sz w:val="20"/>
                <w:szCs w:val="20"/>
              </w:rPr>
              <w:t>Республика Узбекистан</w:t>
            </w:r>
          </w:p>
        </w:tc>
        <w:tc>
          <w:tcPr>
            <w:tcW w:w="600" w:type="dxa"/>
            <w:tcBorders>
              <w:top w:val="nil"/>
              <w:left w:val="single" w:sz="4" w:space="0" w:color="008080"/>
              <w:bottom w:val="single" w:sz="4" w:space="0" w:color="008080"/>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71.2</w:t>
            </w:r>
          </w:p>
        </w:tc>
        <w:tc>
          <w:tcPr>
            <w:tcW w:w="600" w:type="dxa"/>
            <w:tcBorders>
              <w:top w:val="nil"/>
              <w:left w:val="single" w:sz="4" w:space="0" w:color="008080"/>
              <w:bottom w:val="single" w:sz="4" w:space="0" w:color="008080"/>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73.6</w:t>
            </w:r>
          </w:p>
        </w:tc>
        <w:tc>
          <w:tcPr>
            <w:tcW w:w="600" w:type="dxa"/>
            <w:tcBorders>
              <w:top w:val="nil"/>
              <w:left w:val="single" w:sz="4" w:space="0" w:color="008080"/>
              <w:bottom w:val="single" w:sz="4" w:space="0" w:color="008080"/>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69.2</w:t>
            </w:r>
          </w:p>
        </w:tc>
        <w:tc>
          <w:tcPr>
            <w:tcW w:w="600" w:type="dxa"/>
            <w:tcBorders>
              <w:top w:val="nil"/>
              <w:left w:val="single" w:sz="4" w:space="0" w:color="008080"/>
              <w:bottom w:val="single" w:sz="4" w:space="0" w:color="008080"/>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71.8</w:t>
            </w:r>
          </w:p>
        </w:tc>
        <w:tc>
          <w:tcPr>
            <w:tcW w:w="600" w:type="dxa"/>
            <w:tcBorders>
              <w:top w:val="nil"/>
              <w:left w:val="single" w:sz="4" w:space="0" w:color="008080"/>
              <w:bottom w:val="single" w:sz="4" w:space="0" w:color="008080"/>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74.1</w:t>
            </w:r>
          </w:p>
        </w:tc>
        <w:tc>
          <w:tcPr>
            <w:tcW w:w="600" w:type="dxa"/>
            <w:tcBorders>
              <w:top w:val="nil"/>
              <w:left w:val="single" w:sz="4" w:space="0" w:color="008080"/>
              <w:bottom w:val="single" w:sz="4" w:space="0" w:color="008080"/>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69.6</w:t>
            </w:r>
          </w:p>
        </w:tc>
        <w:tc>
          <w:tcPr>
            <w:tcW w:w="600" w:type="dxa"/>
            <w:tcBorders>
              <w:top w:val="nil"/>
              <w:left w:val="single" w:sz="4" w:space="0" w:color="008080"/>
              <w:bottom w:val="single" w:sz="4" w:space="0" w:color="008080"/>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72.5</w:t>
            </w:r>
          </w:p>
        </w:tc>
        <w:tc>
          <w:tcPr>
            <w:tcW w:w="600" w:type="dxa"/>
            <w:tcBorders>
              <w:top w:val="nil"/>
              <w:left w:val="single" w:sz="4" w:space="0" w:color="008080"/>
              <w:bottom w:val="single" w:sz="4" w:space="0" w:color="008080"/>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74.9</w:t>
            </w:r>
          </w:p>
        </w:tc>
        <w:tc>
          <w:tcPr>
            <w:tcW w:w="600" w:type="dxa"/>
            <w:tcBorders>
              <w:top w:val="nil"/>
              <w:left w:val="single" w:sz="4" w:space="0" w:color="008080"/>
              <w:bottom w:val="single" w:sz="4" w:space="0" w:color="008080"/>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70.2</w:t>
            </w:r>
          </w:p>
        </w:tc>
        <w:tc>
          <w:tcPr>
            <w:tcW w:w="600" w:type="dxa"/>
            <w:tcBorders>
              <w:top w:val="nil"/>
              <w:left w:val="single" w:sz="4" w:space="0" w:color="008080"/>
              <w:bottom w:val="single" w:sz="4" w:space="0" w:color="008080"/>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72.7</w:t>
            </w:r>
          </w:p>
        </w:tc>
        <w:tc>
          <w:tcPr>
            <w:tcW w:w="600" w:type="dxa"/>
            <w:tcBorders>
              <w:top w:val="nil"/>
              <w:left w:val="single" w:sz="4" w:space="0" w:color="008080"/>
              <w:bottom w:val="single" w:sz="4" w:space="0" w:color="008080"/>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75</w:t>
            </w:r>
          </w:p>
        </w:tc>
        <w:tc>
          <w:tcPr>
            <w:tcW w:w="600" w:type="dxa"/>
            <w:tcBorders>
              <w:top w:val="nil"/>
              <w:left w:val="single" w:sz="4" w:space="0" w:color="008080"/>
              <w:bottom w:val="single" w:sz="4" w:space="0" w:color="008080"/>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70.3</w:t>
            </w:r>
          </w:p>
        </w:tc>
        <w:tc>
          <w:tcPr>
            <w:tcW w:w="600" w:type="dxa"/>
            <w:tcBorders>
              <w:top w:val="nil"/>
              <w:left w:val="single" w:sz="4" w:space="0" w:color="008080"/>
              <w:bottom w:val="single" w:sz="4" w:space="0" w:color="008080"/>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72.9</w:t>
            </w:r>
          </w:p>
        </w:tc>
        <w:tc>
          <w:tcPr>
            <w:tcW w:w="600" w:type="dxa"/>
            <w:tcBorders>
              <w:top w:val="nil"/>
              <w:left w:val="single" w:sz="4" w:space="0" w:color="008080"/>
              <w:bottom w:val="single" w:sz="4" w:space="0" w:color="008080"/>
              <w:right w:val="nil"/>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75.1</w:t>
            </w:r>
          </w:p>
        </w:tc>
        <w:tc>
          <w:tcPr>
            <w:tcW w:w="600" w:type="dxa"/>
            <w:tcBorders>
              <w:top w:val="nil"/>
              <w:left w:val="single" w:sz="4" w:space="0" w:color="008080"/>
              <w:bottom w:val="single" w:sz="4" w:space="0" w:color="008080"/>
              <w:right w:val="single" w:sz="4" w:space="0" w:color="008080"/>
            </w:tcBorders>
            <w:shd w:val="clear" w:color="auto" w:fill="CCCCFF"/>
            <w:noWrap/>
            <w:vAlign w:val="bottom"/>
          </w:tcPr>
          <w:p w:rsidR="00896A20" w:rsidRPr="00896A20" w:rsidRDefault="00896A20" w:rsidP="00896A20">
            <w:pPr>
              <w:spacing w:after="0" w:line="240" w:lineRule="auto"/>
              <w:jc w:val="right"/>
              <w:rPr>
                <w:color w:val="000000"/>
                <w:sz w:val="20"/>
                <w:szCs w:val="20"/>
              </w:rPr>
            </w:pPr>
            <w:r w:rsidRPr="00896A20">
              <w:rPr>
                <w:color w:val="000000"/>
                <w:sz w:val="20"/>
                <w:szCs w:val="20"/>
              </w:rPr>
              <w:t>70.5</w:t>
            </w:r>
          </w:p>
        </w:tc>
      </w:tr>
    </w:tbl>
    <w:p w:rsidR="00896A20" w:rsidRPr="00896A20" w:rsidRDefault="00896A20" w:rsidP="00896A20">
      <w:pPr>
        <w:spacing w:after="0" w:line="240" w:lineRule="auto"/>
        <w:rPr>
          <w:sz w:val="20"/>
          <w:szCs w:val="20"/>
        </w:rPr>
      </w:pPr>
    </w:p>
    <w:p w:rsidR="00896A20" w:rsidRDefault="00896A20">
      <w:pPr>
        <w:rPr>
          <w:b/>
          <w:szCs w:val="24"/>
        </w:rPr>
      </w:pPr>
      <w:r>
        <w:rPr>
          <w:b/>
          <w:szCs w:val="24"/>
        </w:rPr>
        <w:br w:type="page"/>
      </w:r>
    </w:p>
    <w:p w:rsidR="00896A20" w:rsidRPr="00896A20" w:rsidRDefault="00896A20" w:rsidP="00896A20">
      <w:pPr>
        <w:spacing w:after="0" w:line="240" w:lineRule="auto"/>
        <w:rPr>
          <w:b/>
          <w:szCs w:val="24"/>
        </w:rPr>
      </w:pPr>
      <w:r w:rsidRPr="00896A20">
        <w:rPr>
          <w:b/>
          <w:szCs w:val="24"/>
        </w:rPr>
        <w:lastRenderedPageBreak/>
        <w:t>Таблица 6. «Социальные болезни» и неравенство.</w:t>
      </w:r>
    </w:p>
    <w:tbl>
      <w:tblPr>
        <w:tblW w:w="15981" w:type="dxa"/>
        <w:tblInd w:w="-459" w:type="dxa"/>
        <w:tblLayout w:type="fixed"/>
        <w:tblLook w:val="0000"/>
      </w:tblPr>
      <w:tblGrid>
        <w:gridCol w:w="1668"/>
        <w:gridCol w:w="566"/>
        <w:gridCol w:w="566"/>
        <w:gridCol w:w="566"/>
        <w:gridCol w:w="566"/>
        <w:gridCol w:w="566"/>
        <w:gridCol w:w="466"/>
        <w:gridCol w:w="466"/>
        <w:gridCol w:w="466"/>
        <w:gridCol w:w="466"/>
        <w:gridCol w:w="466"/>
        <w:gridCol w:w="566"/>
        <w:gridCol w:w="566"/>
        <w:gridCol w:w="566"/>
        <w:gridCol w:w="566"/>
        <w:gridCol w:w="566"/>
        <w:gridCol w:w="658"/>
        <w:gridCol w:w="709"/>
        <w:gridCol w:w="709"/>
        <w:gridCol w:w="708"/>
        <w:gridCol w:w="709"/>
        <w:gridCol w:w="566"/>
        <w:gridCol w:w="566"/>
        <w:gridCol w:w="566"/>
        <w:gridCol w:w="566"/>
        <w:gridCol w:w="566"/>
      </w:tblGrid>
      <w:tr w:rsidR="00896A20" w:rsidRPr="00896A20" w:rsidTr="00896A20">
        <w:trPr>
          <w:trHeight w:val="1147"/>
        </w:trPr>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b/>
                <w:bCs/>
                <w:sz w:val="20"/>
                <w:szCs w:val="20"/>
              </w:rPr>
            </w:pPr>
            <w:r w:rsidRPr="00896A20">
              <w:rPr>
                <w:b/>
                <w:bCs/>
                <w:sz w:val="20"/>
                <w:szCs w:val="20"/>
              </w:rPr>
              <w:t> </w:t>
            </w:r>
          </w:p>
        </w:tc>
        <w:tc>
          <w:tcPr>
            <w:tcW w:w="2830" w:type="dxa"/>
            <w:gridSpan w:val="5"/>
            <w:tcBorders>
              <w:top w:val="single" w:sz="4" w:space="0" w:color="auto"/>
              <w:left w:val="nil"/>
              <w:bottom w:val="single" w:sz="4" w:space="0" w:color="auto"/>
              <w:right w:val="single" w:sz="4" w:space="0" w:color="auto"/>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Доля населения, находящегося ниже крайней черты бедности, %</w:t>
            </w:r>
          </w:p>
        </w:tc>
        <w:tc>
          <w:tcPr>
            <w:tcW w:w="2330" w:type="dxa"/>
            <w:gridSpan w:val="5"/>
            <w:tcBorders>
              <w:top w:val="single" w:sz="4" w:space="0" w:color="auto"/>
              <w:left w:val="nil"/>
              <w:bottom w:val="single" w:sz="4" w:space="0" w:color="auto"/>
              <w:right w:val="single" w:sz="4" w:space="0" w:color="auto"/>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Число зарегистрированных преступлений(на 1000 населения)</w:t>
            </w:r>
          </w:p>
        </w:tc>
        <w:tc>
          <w:tcPr>
            <w:tcW w:w="2830" w:type="dxa"/>
            <w:gridSpan w:val="5"/>
            <w:tcBorders>
              <w:top w:val="single" w:sz="4" w:space="0" w:color="auto"/>
              <w:left w:val="nil"/>
              <w:bottom w:val="single" w:sz="4" w:space="0" w:color="auto"/>
              <w:right w:val="single" w:sz="4" w:space="0" w:color="auto"/>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Заболеваемость наркологическими расстройствами, включая алкоголизм (на 100 тыс. населения)</w:t>
            </w:r>
          </w:p>
        </w:tc>
        <w:tc>
          <w:tcPr>
            <w:tcW w:w="3493" w:type="dxa"/>
            <w:gridSpan w:val="5"/>
            <w:tcBorders>
              <w:top w:val="single" w:sz="4" w:space="0" w:color="auto"/>
              <w:left w:val="nil"/>
              <w:bottom w:val="single" w:sz="4" w:space="0" w:color="auto"/>
              <w:right w:val="single" w:sz="4" w:space="0" w:color="000000"/>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Число лиц, пострадавших от травм и отравлений (на 100 тыс. населения)</w:t>
            </w:r>
          </w:p>
        </w:tc>
        <w:tc>
          <w:tcPr>
            <w:tcW w:w="2830" w:type="dxa"/>
            <w:gridSpan w:val="5"/>
            <w:tcBorders>
              <w:top w:val="single" w:sz="4" w:space="0" w:color="auto"/>
              <w:left w:val="nil"/>
              <w:bottom w:val="single" w:sz="4" w:space="0" w:color="auto"/>
              <w:right w:val="single" w:sz="4" w:space="0" w:color="auto"/>
            </w:tcBorders>
            <w:shd w:val="clear" w:color="auto" w:fill="auto"/>
            <w:vAlign w:val="bottom"/>
          </w:tcPr>
          <w:p w:rsidR="00896A20" w:rsidRPr="00896A20" w:rsidRDefault="00896A20" w:rsidP="00896A20">
            <w:pPr>
              <w:spacing w:after="0" w:line="240" w:lineRule="auto"/>
              <w:jc w:val="center"/>
              <w:rPr>
                <w:b/>
                <w:bCs/>
                <w:sz w:val="20"/>
                <w:szCs w:val="20"/>
              </w:rPr>
            </w:pPr>
            <w:r w:rsidRPr="00896A20">
              <w:rPr>
                <w:b/>
                <w:bCs/>
                <w:sz w:val="20"/>
                <w:szCs w:val="20"/>
              </w:rPr>
              <w:t>Удельный вес женщин в общей численности рабочих и служащих, в  %</w:t>
            </w:r>
          </w:p>
        </w:tc>
      </w:tr>
      <w:tr w:rsidR="00896A20" w:rsidRPr="00896A20" w:rsidTr="00896A20">
        <w:trPr>
          <w:trHeight w:val="585"/>
        </w:trPr>
        <w:tc>
          <w:tcPr>
            <w:tcW w:w="1668"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b/>
                <w:bCs/>
                <w:sz w:val="20"/>
                <w:szCs w:val="20"/>
              </w:rPr>
            </w:pPr>
            <w:r w:rsidRPr="00896A20">
              <w:rPr>
                <w:b/>
                <w:bCs/>
                <w:sz w:val="20"/>
                <w:szCs w:val="20"/>
              </w:rPr>
              <w:t>Регионы</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2004</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2005</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2006</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2007</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2008</w:t>
            </w:r>
            <w:r w:rsidR="00CC3137">
              <w:rPr>
                <w:b/>
                <w:bCs/>
                <w:sz w:val="20"/>
                <w:szCs w:val="20"/>
              </w:rPr>
              <w:t>*</w:t>
            </w:r>
          </w:p>
        </w:tc>
        <w:tc>
          <w:tcPr>
            <w:tcW w:w="4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2004</w:t>
            </w:r>
          </w:p>
        </w:tc>
        <w:tc>
          <w:tcPr>
            <w:tcW w:w="4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2005</w:t>
            </w:r>
          </w:p>
        </w:tc>
        <w:tc>
          <w:tcPr>
            <w:tcW w:w="4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2006</w:t>
            </w:r>
          </w:p>
        </w:tc>
        <w:tc>
          <w:tcPr>
            <w:tcW w:w="4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2007</w:t>
            </w:r>
          </w:p>
        </w:tc>
        <w:tc>
          <w:tcPr>
            <w:tcW w:w="4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2008</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2004</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2005</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2006</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2007</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2008</w:t>
            </w:r>
          </w:p>
        </w:tc>
        <w:tc>
          <w:tcPr>
            <w:tcW w:w="658"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2004</w:t>
            </w:r>
          </w:p>
        </w:tc>
        <w:tc>
          <w:tcPr>
            <w:tcW w:w="709"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2005</w:t>
            </w:r>
          </w:p>
        </w:tc>
        <w:tc>
          <w:tcPr>
            <w:tcW w:w="709"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2006</w:t>
            </w:r>
          </w:p>
        </w:tc>
        <w:tc>
          <w:tcPr>
            <w:tcW w:w="708"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2007</w:t>
            </w:r>
          </w:p>
        </w:tc>
        <w:tc>
          <w:tcPr>
            <w:tcW w:w="709"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2008</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2004</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2005</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2006</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2007</w:t>
            </w:r>
          </w:p>
        </w:tc>
        <w:tc>
          <w:tcPr>
            <w:tcW w:w="566" w:type="dxa"/>
            <w:tcBorders>
              <w:top w:val="nil"/>
              <w:left w:val="nil"/>
              <w:bottom w:val="single" w:sz="4" w:space="0" w:color="auto"/>
              <w:right w:val="single" w:sz="4" w:space="0" w:color="auto"/>
            </w:tcBorders>
            <w:shd w:val="clear" w:color="auto" w:fill="auto"/>
            <w:noWrap/>
            <w:textDirection w:val="btLr"/>
            <w:vAlign w:val="bottom"/>
          </w:tcPr>
          <w:p w:rsidR="00896A20" w:rsidRPr="00896A20" w:rsidRDefault="00896A20" w:rsidP="00896A20">
            <w:pPr>
              <w:spacing w:after="0" w:line="240" w:lineRule="auto"/>
              <w:jc w:val="center"/>
              <w:rPr>
                <w:b/>
                <w:bCs/>
                <w:sz w:val="20"/>
                <w:szCs w:val="20"/>
              </w:rPr>
            </w:pPr>
            <w:r w:rsidRPr="00896A20">
              <w:rPr>
                <w:b/>
                <w:bCs/>
                <w:sz w:val="20"/>
                <w:szCs w:val="20"/>
              </w:rPr>
              <w:t>2008</w:t>
            </w:r>
            <w:r w:rsidR="00CC3137">
              <w:rPr>
                <w:b/>
                <w:bCs/>
                <w:sz w:val="20"/>
                <w:szCs w:val="20"/>
              </w:rPr>
              <w:t>*</w:t>
            </w:r>
          </w:p>
        </w:tc>
      </w:tr>
      <w:tr w:rsidR="00896A20" w:rsidRPr="00896A20" w:rsidTr="00896A20">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Республика Каракалпакстан</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25.8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25.1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24.5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23.2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24.7</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1.9</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2.1</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9.5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12.7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18.5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22.3</w:t>
            </w:r>
          </w:p>
        </w:tc>
        <w:tc>
          <w:tcPr>
            <w:tcW w:w="65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2 489.6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2 616.1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2 962.7  </w:t>
            </w:r>
          </w:p>
        </w:tc>
        <w:tc>
          <w:tcPr>
            <w:tcW w:w="70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3 019.1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1 949.0  </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45.3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43.5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43.5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45.5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44.5</w:t>
            </w:r>
          </w:p>
        </w:tc>
      </w:tr>
      <w:tr w:rsidR="00896A20" w:rsidRPr="00896A20" w:rsidTr="00896A20">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Андижанская область</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6.4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6.3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6.0</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5.6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6.1</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2.1</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2.1</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2.2</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21.3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21.5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29.8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24.2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26.6</w:t>
            </w:r>
          </w:p>
        </w:tc>
        <w:tc>
          <w:tcPr>
            <w:tcW w:w="65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3 046.0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3 027.2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3 311.4  </w:t>
            </w:r>
          </w:p>
        </w:tc>
        <w:tc>
          <w:tcPr>
            <w:tcW w:w="70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3 309.6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3 498.2  </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47.4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48.3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45.5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41.4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45.7</w:t>
            </w:r>
          </w:p>
        </w:tc>
      </w:tr>
      <w:tr w:rsidR="00896A20" w:rsidRPr="00896A20" w:rsidTr="00896A20">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Бухарская область</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7.6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7.6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7.3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6.8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7.3</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2.3</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2.4</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2.4</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2.6</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25.2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26.1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19.4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24.4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22.1</w:t>
            </w:r>
          </w:p>
        </w:tc>
        <w:tc>
          <w:tcPr>
            <w:tcW w:w="65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5 683.7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5 397.4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6 922.0  </w:t>
            </w:r>
          </w:p>
        </w:tc>
        <w:tc>
          <w:tcPr>
            <w:tcW w:w="70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4 408.0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4 535.0  </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46.5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46.1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42.7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42.9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44.6</w:t>
            </w:r>
          </w:p>
        </w:tc>
      </w:tr>
      <w:tr w:rsidR="00896A20" w:rsidRPr="00896A20" w:rsidTr="00896A20">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Джизакская область</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9.4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9.2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8.9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8.7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9.1</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2.4</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2.3</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2.3</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2.3</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20.3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16.4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15.7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16.6</w:t>
            </w:r>
          </w:p>
        </w:tc>
        <w:tc>
          <w:tcPr>
            <w:tcW w:w="65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1 310.7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1 339.6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1 298.2  </w:t>
            </w:r>
          </w:p>
        </w:tc>
        <w:tc>
          <w:tcPr>
            <w:tcW w:w="70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1 464.9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1 559.3  </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35.4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31.0</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27.9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40.8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33.8</w:t>
            </w:r>
          </w:p>
        </w:tc>
      </w:tr>
      <w:tr w:rsidR="00896A20" w:rsidRPr="00896A20" w:rsidTr="00896A20">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Кашкадарьинская область</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10.1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9.8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9.5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8.6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9.5</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2.2</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2.1</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2.1</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33.8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34.8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27.4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25.3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25</w:t>
            </w:r>
          </w:p>
        </w:tc>
        <w:tc>
          <w:tcPr>
            <w:tcW w:w="65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1 550.2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1 740.9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1 853.8  </w:t>
            </w:r>
          </w:p>
        </w:tc>
        <w:tc>
          <w:tcPr>
            <w:tcW w:w="70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1 929.0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1 911.6  </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37.7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38.4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37.8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38.1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38.0</w:t>
            </w:r>
          </w:p>
        </w:tc>
      </w:tr>
      <w:tr w:rsidR="00896A20" w:rsidRPr="00896A20" w:rsidTr="00896A20">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Навоийская область</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7.8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7.8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7.5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6.4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7.4</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3.6</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3.7</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4.1</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4.1</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34.9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41.2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49.2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46.2</w:t>
            </w:r>
          </w:p>
        </w:tc>
        <w:tc>
          <w:tcPr>
            <w:tcW w:w="65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4 067.9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4 262.6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3 705.9  </w:t>
            </w:r>
          </w:p>
        </w:tc>
        <w:tc>
          <w:tcPr>
            <w:tcW w:w="70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4 017.7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3 344.1  </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40.4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40.7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39.9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39.1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40.0</w:t>
            </w:r>
          </w:p>
        </w:tc>
      </w:tr>
      <w:tr w:rsidR="00896A20" w:rsidRPr="00896A20" w:rsidTr="00896A20">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Наманганская область</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9.1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9.0</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8.8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8.4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8.8</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2.2</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2.2</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39.2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12.2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12.3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12.5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10.2</w:t>
            </w:r>
          </w:p>
        </w:tc>
        <w:tc>
          <w:tcPr>
            <w:tcW w:w="65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4 567.5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4 655.0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4 653.7  </w:t>
            </w:r>
          </w:p>
        </w:tc>
        <w:tc>
          <w:tcPr>
            <w:tcW w:w="70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4 825.0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4 408.5  </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43.0</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41.1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41.6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44.3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42.5</w:t>
            </w:r>
          </w:p>
        </w:tc>
      </w:tr>
      <w:tr w:rsidR="00896A20" w:rsidRPr="00896A20" w:rsidTr="00896A20">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Самаркандская область</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6.2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6.2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6.0</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5.2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5.9</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2.9</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2.8</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2.7</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2.6</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48.4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40.1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47.3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38.9</w:t>
            </w:r>
          </w:p>
        </w:tc>
        <w:tc>
          <w:tcPr>
            <w:tcW w:w="65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2 882.0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2 943.6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3 398.4  </w:t>
            </w:r>
          </w:p>
        </w:tc>
        <w:tc>
          <w:tcPr>
            <w:tcW w:w="70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3 677.5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3 864.2  </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43.4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45.5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38.6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40.1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41.9</w:t>
            </w:r>
          </w:p>
        </w:tc>
      </w:tr>
      <w:tr w:rsidR="00896A20" w:rsidRPr="00896A20" w:rsidTr="00896A20">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Сурхандарьинская область</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12.4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11.9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11.4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10.8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11.6</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1.7</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1.7</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1.7</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1.7</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26.5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32.6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22.8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21.3</w:t>
            </w:r>
          </w:p>
        </w:tc>
        <w:tc>
          <w:tcPr>
            <w:tcW w:w="65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2 094.1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1 989.6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1 840.9  </w:t>
            </w:r>
          </w:p>
        </w:tc>
        <w:tc>
          <w:tcPr>
            <w:tcW w:w="70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2 318.7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1 972.7  </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34.8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38.2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40.3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42.3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38.9</w:t>
            </w:r>
          </w:p>
        </w:tc>
      </w:tr>
      <w:tr w:rsidR="00896A20" w:rsidRPr="00896A20" w:rsidTr="00896A20">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Сырдарьинская область</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10.5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10.3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9.8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8.8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9.9</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3.9</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3.9</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26.4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23.5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31.1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21.3</w:t>
            </w:r>
          </w:p>
        </w:tc>
        <w:tc>
          <w:tcPr>
            <w:tcW w:w="65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1 120.7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1 140.1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1 077.0  </w:t>
            </w:r>
          </w:p>
        </w:tc>
        <w:tc>
          <w:tcPr>
            <w:tcW w:w="70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1 710.9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1 485.9  </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41.6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34.8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36.4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41.0</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38.5</w:t>
            </w:r>
          </w:p>
        </w:tc>
      </w:tr>
      <w:tr w:rsidR="00896A20" w:rsidRPr="00896A20" w:rsidTr="00896A20">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Ташкентская область</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5.2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5.0</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4.7</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3.6</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3.7</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3.8</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3.9</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23.2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29.7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30.8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25.9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27.5</w:t>
            </w:r>
          </w:p>
        </w:tc>
        <w:tc>
          <w:tcPr>
            <w:tcW w:w="65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3 675.4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2 974.2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3 040.3  </w:t>
            </w:r>
          </w:p>
        </w:tc>
        <w:tc>
          <w:tcPr>
            <w:tcW w:w="70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3 080.3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2 277.6  </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43.7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45.4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43.8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43.9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44.2</w:t>
            </w:r>
          </w:p>
        </w:tc>
      </w:tr>
      <w:tr w:rsidR="00896A20" w:rsidRPr="00896A20" w:rsidTr="00896A20">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Ферганская область</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3.2</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2.7</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2.7</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2.9</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2.9</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23.6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23.7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25.8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23.8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24.7</w:t>
            </w:r>
          </w:p>
        </w:tc>
        <w:tc>
          <w:tcPr>
            <w:tcW w:w="65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3 041.4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2 889.8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2 966.0  </w:t>
            </w:r>
          </w:p>
        </w:tc>
        <w:tc>
          <w:tcPr>
            <w:tcW w:w="70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3 335.8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2 808.2  </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49.8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42.7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45.5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45.4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45.9</w:t>
            </w:r>
          </w:p>
        </w:tc>
      </w:tr>
      <w:tr w:rsidR="00896A20" w:rsidRPr="00896A20" w:rsidTr="00896A20">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Хорезмская область</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6.7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6.7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6.4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5.7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6.4</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2.4</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2.2</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2.4</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2.4</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25.1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29.1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25.2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24.3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24.9</w:t>
            </w:r>
          </w:p>
        </w:tc>
        <w:tc>
          <w:tcPr>
            <w:tcW w:w="65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4 846.2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4 778.4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5 050.8  </w:t>
            </w:r>
          </w:p>
        </w:tc>
        <w:tc>
          <w:tcPr>
            <w:tcW w:w="70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4 486.6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4 460.7  </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47.1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47.1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38.4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44.3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44.2</w:t>
            </w:r>
          </w:p>
        </w:tc>
      </w:tr>
      <w:tr w:rsidR="00896A20" w:rsidRPr="00896A20" w:rsidTr="00896A20">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Город Ташкент</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3.0</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3.0</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2.7</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8.2</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8.1</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8.1</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9.2</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9.3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54.5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66.8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79.3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70.6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51</w:t>
            </w:r>
          </w:p>
        </w:tc>
        <w:tc>
          <w:tcPr>
            <w:tcW w:w="65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6 789.4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6 140.5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6 596.7  </w:t>
            </w:r>
          </w:p>
        </w:tc>
        <w:tc>
          <w:tcPr>
            <w:tcW w:w="70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6 261.1  </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 xml:space="preserve">6 189.3  </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46.5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47.1</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44.9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44.9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45.9</w:t>
            </w:r>
          </w:p>
        </w:tc>
      </w:tr>
      <w:tr w:rsidR="00896A20" w:rsidRPr="00896A20" w:rsidTr="00896A20">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rPr>
                <w:sz w:val="20"/>
                <w:szCs w:val="20"/>
              </w:rPr>
            </w:pPr>
            <w:r w:rsidRPr="00896A20">
              <w:rPr>
                <w:sz w:val="20"/>
                <w:szCs w:val="20"/>
              </w:rPr>
              <w:t>Республика Узбекистан</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7.9</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7.8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7.5</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6.7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7.5</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3.1</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3.1</w:t>
            </w:r>
          </w:p>
        </w:tc>
        <w:tc>
          <w:tcPr>
            <w:tcW w:w="4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3.2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napToGrid w:val="0"/>
                <w:sz w:val="16"/>
                <w:szCs w:val="16"/>
              </w:rPr>
              <w:t>30.7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napToGrid w:val="0"/>
                <w:sz w:val="16"/>
                <w:szCs w:val="16"/>
              </w:rPr>
              <w:t>29.8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napToGrid w:val="0"/>
                <w:sz w:val="16"/>
                <w:szCs w:val="16"/>
              </w:rPr>
              <w:t>32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napToGrid w:val="0"/>
                <w:sz w:val="16"/>
                <w:szCs w:val="16"/>
              </w:rPr>
              <w:t>30.2</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napToGrid w:val="0"/>
                <w:sz w:val="16"/>
                <w:szCs w:val="16"/>
              </w:rPr>
              <w:t>27.4</w:t>
            </w:r>
          </w:p>
        </w:tc>
        <w:tc>
          <w:tcPr>
            <w:tcW w:w="65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3442.0</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3320.0</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3548..7</w:t>
            </w:r>
          </w:p>
        </w:tc>
        <w:tc>
          <w:tcPr>
            <w:tcW w:w="708"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3509.9</w:t>
            </w:r>
          </w:p>
        </w:tc>
        <w:tc>
          <w:tcPr>
            <w:tcW w:w="709"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4"/>
                <w:szCs w:val="14"/>
              </w:rPr>
            </w:pPr>
            <w:r w:rsidRPr="00896A20">
              <w:rPr>
                <w:sz w:val="14"/>
                <w:szCs w:val="14"/>
              </w:rPr>
              <w:t>3267.4</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43.8</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43.3</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41.6</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42.7</w:t>
            </w:r>
          </w:p>
        </w:tc>
        <w:tc>
          <w:tcPr>
            <w:tcW w:w="566" w:type="dxa"/>
            <w:tcBorders>
              <w:top w:val="nil"/>
              <w:left w:val="nil"/>
              <w:bottom w:val="single" w:sz="4" w:space="0" w:color="auto"/>
              <w:right w:val="single" w:sz="4" w:space="0" w:color="auto"/>
            </w:tcBorders>
            <w:shd w:val="clear" w:color="auto" w:fill="auto"/>
            <w:noWrap/>
            <w:vAlign w:val="bottom"/>
          </w:tcPr>
          <w:p w:rsidR="00896A20" w:rsidRPr="00896A20" w:rsidRDefault="00896A20" w:rsidP="00896A20">
            <w:pPr>
              <w:spacing w:after="0" w:line="240" w:lineRule="auto"/>
              <w:jc w:val="right"/>
              <w:rPr>
                <w:sz w:val="16"/>
                <w:szCs w:val="16"/>
              </w:rPr>
            </w:pPr>
            <w:r w:rsidRPr="00896A20">
              <w:rPr>
                <w:sz w:val="16"/>
                <w:szCs w:val="16"/>
              </w:rPr>
              <w:t>42.9</w:t>
            </w:r>
          </w:p>
        </w:tc>
      </w:tr>
    </w:tbl>
    <w:p w:rsidR="000F135F" w:rsidRDefault="00CC3137" w:rsidP="00CC3137">
      <w:pPr>
        <w:spacing w:after="0" w:line="240" w:lineRule="auto"/>
      </w:pPr>
      <w:r>
        <w:rPr>
          <w:sz w:val="20"/>
          <w:szCs w:val="20"/>
        </w:rPr>
        <w:t>*Рассчитано как среднее значение за предыдущие 4 года.</w:t>
      </w:r>
    </w:p>
    <w:p w:rsidR="00CC3137" w:rsidRDefault="00CC3137"/>
    <w:p w:rsidR="000F135F" w:rsidRDefault="000F135F">
      <w:pPr>
        <w:sectPr w:rsidR="000F135F" w:rsidSect="000F135F">
          <w:pgSz w:w="16838" w:h="11906" w:orient="landscape"/>
          <w:pgMar w:top="851" w:right="1134" w:bottom="851" w:left="1134" w:header="709" w:footer="709" w:gutter="0"/>
          <w:cols w:space="708"/>
          <w:docGrid w:linePitch="360"/>
        </w:sectPr>
      </w:pPr>
    </w:p>
    <w:p w:rsidR="00FB0787" w:rsidRPr="006A5551" w:rsidRDefault="00FB0787" w:rsidP="00FB0787">
      <w:pPr>
        <w:spacing w:before="100" w:after="0" w:line="240" w:lineRule="auto"/>
        <w:jc w:val="center"/>
        <w:rPr>
          <w:b/>
          <w:sz w:val="28"/>
          <w:szCs w:val="28"/>
        </w:rPr>
      </w:pPr>
      <w:r w:rsidRPr="006A5551">
        <w:rPr>
          <w:b/>
          <w:sz w:val="28"/>
          <w:szCs w:val="28"/>
        </w:rPr>
        <w:lastRenderedPageBreak/>
        <w:t xml:space="preserve">Приложение </w:t>
      </w:r>
      <w:r w:rsidR="00F45AB9">
        <w:rPr>
          <w:b/>
          <w:sz w:val="28"/>
          <w:szCs w:val="28"/>
        </w:rPr>
        <w:t>4</w:t>
      </w:r>
      <w:r w:rsidRPr="006A5551">
        <w:rPr>
          <w:b/>
          <w:sz w:val="28"/>
          <w:szCs w:val="28"/>
        </w:rPr>
        <w:t xml:space="preserve">. </w:t>
      </w:r>
      <w:r>
        <w:rPr>
          <w:b/>
          <w:sz w:val="28"/>
          <w:szCs w:val="28"/>
        </w:rPr>
        <w:t>Анализ составляющих</w:t>
      </w:r>
      <w:r w:rsidRPr="006A5551">
        <w:rPr>
          <w:b/>
          <w:sz w:val="28"/>
          <w:szCs w:val="28"/>
        </w:rPr>
        <w:t xml:space="preserve"> регионального индекса человеческого развития</w:t>
      </w:r>
    </w:p>
    <w:p w:rsidR="00FB0787" w:rsidRPr="00F45AB9" w:rsidRDefault="00FB0787" w:rsidP="00EF2178">
      <w:pPr>
        <w:jc w:val="center"/>
        <w:rPr>
          <w:b/>
          <w:bCs/>
          <w:color w:val="000000"/>
          <w:sz w:val="22"/>
        </w:rPr>
      </w:pPr>
    </w:p>
    <w:p w:rsidR="004B6EFE" w:rsidRPr="00F45AB9" w:rsidRDefault="004B6EFE" w:rsidP="004B6EFE">
      <w:pPr>
        <w:pStyle w:val="a4"/>
        <w:spacing w:before="120" w:beforeAutospacing="0" w:after="0" w:afterAutospacing="0"/>
        <w:jc w:val="both"/>
        <w:rPr>
          <w:sz w:val="22"/>
          <w:szCs w:val="22"/>
        </w:rPr>
      </w:pPr>
      <w:r w:rsidRPr="00F45AB9">
        <w:rPr>
          <w:b/>
          <w:sz w:val="22"/>
          <w:szCs w:val="22"/>
        </w:rPr>
        <w:t>Индикатор потребления</w:t>
      </w:r>
      <w:r w:rsidRPr="00F45AB9">
        <w:rPr>
          <w:sz w:val="22"/>
          <w:szCs w:val="22"/>
        </w:rPr>
        <w:t xml:space="preserve">. Размер потребления – первое, что приходит в голову, когда речь идет об уровне благосостояния. Для того, чтобы реализовывать свой потенциал, различные права и свободы, человек, прежде всего, должен в достаточном количестве потреблять материальные и нематериальные блага. Уровень потребления отражается в показателях розничного товарооборота и объема платных услуг населению. Эти показатели прямо характеризуют величину потребительского спроса и косвенно уровень доходов, которыми определяются объем и структура потребления. Следует сказать, что </w:t>
      </w:r>
      <w:r w:rsidRPr="003F02AC">
        <w:rPr>
          <w:sz w:val="22"/>
          <w:szCs w:val="22"/>
        </w:rPr>
        <w:t>до 200</w:t>
      </w:r>
      <w:r w:rsidR="003F02AC" w:rsidRPr="003F02AC">
        <w:rPr>
          <w:sz w:val="22"/>
          <w:szCs w:val="22"/>
        </w:rPr>
        <w:t>6</w:t>
      </w:r>
      <w:r w:rsidRPr="003F02AC">
        <w:rPr>
          <w:sz w:val="22"/>
          <w:szCs w:val="22"/>
        </w:rPr>
        <w:t xml:space="preserve"> года Госкомстат Республики Узбекистан публиковал показатели «потребительские расходы населения», как по стране, так и по регионам. В более поздний период объем потребительских расходов приходится оценивать как сумму объемов розничного товарооборота и платных услуг. Чтобы показать, что это хорошая оценка</w:t>
      </w:r>
      <w:r w:rsidR="00006EF9" w:rsidRPr="003F02AC">
        <w:rPr>
          <w:sz w:val="22"/>
          <w:szCs w:val="22"/>
        </w:rPr>
        <w:t>,</w:t>
      </w:r>
      <w:r w:rsidRPr="003F02AC">
        <w:rPr>
          <w:sz w:val="22"/>
          <w:szCs w:val="22"/>
        </w:rPr>
        <w:t xml:space="preserve"> авторами был проведен расчет расхождения за 2006 год опубликованных данных о потребительских расходах и принятой оценки. Расхождения по регионам</w:t>
      </w:r>
      <w:r w:rsidRPr="00F45AB9">
        <w:rPr>
          <w:sz w:val="22"/>
          <w:szCs w:val="22"/>
        </w:rPr>
        <w:t xml:space="preserve"> составляют от минус 3,41 до плюс 1,63%, а в целом по стране составляют 1,22%. </w:t>
      </w:r>
    </w:p>
    <w:p w:rsidR="004B6EFE" w:rsidRPr="00F45AB9" w:rsidRDefault="004B6EFE" w:rsidP="004B6EFE">
      <w:pPr>
        <w:pStyle w:val="a4"/>
        <w:spacing w:before="120" w:beforeAutospacing="0" w:after="0" w:afterAutospacing="0"/>
        <w:jc w:val="both"/>
        <w:rPr>
          <w:b/>
          <w:sz w:val="22"/>
          <w:szCs w:val="22"/>
        </w:rPr>
      </w:pPr>
      <w:r w:rsidRPr="00F45AB9">
        <w:rPr>
          <w:b/>
          <w:sz w:val="22"/>
          <w:szCs w:val="22"/>
        </w:rPr>
        <w:t>Таблица 1. Потребительский компонент ЭИЧР.</w:t>
      </w:r>
    </w:p>
    <w:tbl>
      <w:tblPr>
        <w:tblW w:w="8976" w:type="dxa"/>
        <w:tblInd w:w="100" w:type="dxa"/>
        <w:tblLook w:val="04A0"/>
      </w:tblPr>
      <w:tblGrid>
        <w:gridCol w:w="2985"/>
        <w:gridCol w:w="1000"/>
        <w:gridCol w:w="1000"/>
        <w:gridCol w:w="960"/>
        <w:gridCol w:w="1000"/>
        <w:gridCol w:w="1000"/>
        <w:gridCol w:w="1031"/>
      </w:tblGrid>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rPr>
                <w:rFonts w:eastAsia="Times New Roman"/>
                <w:b/>
                <w:bCs/>
                <w:color w:val="000000"/>
                <w:lang w:eastAsia="ru-RU"/>
              </w:rPr>
            </w:pPr>
            <w:r w:rsidRPr="00F45AB9">
              <w:rPr>
                <w:rFonts w:eastAsia="Times New Roman"/>
                <w:b/>
                <w:bCs/>
                <w:color w:val="000000"/>
                <w:sz w:val="22"/>
                <w:lang w:eastAsia="ru-RU"/>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2004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2005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2006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2007</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2008</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Среднее</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Город Ташкент</w:t>
            </w:r>
          </w:p>
        </w:tc>
        <w:tc>
          <w:tcPr>
            <w:tcW w:w="1000"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0,563</w:t>
            </w:r>
          </w:p>
        </w:tc>
        <w:tc>
          <w:tcPr>
            <w:tcW w:w="1000"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0,611</w:t>
            </w:r>
          </w:p>
        </w:tc>
        <w:tc>
          <w:tcPr>
            <w:tcW w:w="960"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0,612</w:t>
            </w:r>
          </w:p>
        </w:tc>
        <w:tc>
          <w:tcPr>
            <w:tcW w:w="1000"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0,647</w:t>
            </w:r>
          </w:p>
        </w:tc>
        <w:tc>
          <w:tcPr>
            <w:tcW w:w="1000"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0,656</w:t>
            </w:r>
          </w:p>
        </w:tc>
        <w:tc>
          <w:tcPr>
            <w:tcW w:w="1031" w:type="dxa"/>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0,618</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Ташкентская область</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0,225</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0,190</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0,190</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0,194</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0,291</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0,218</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Навоийская область</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0,229</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0,171</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0,175</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0,209</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0,284</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0,214</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Андижанская область</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0,211</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0,194</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0,193</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0,200</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0,232</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0,206</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Бухарская область</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0,169</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0,172</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0,171</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0,175</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0,236</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0,184</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Ферганская область</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0,180</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0,170</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0,172</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0,169</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0,201</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0,178</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Наманганская область</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0,125</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0,130</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0,137</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0,158</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0,200</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0,150</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Хорезмская область</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0,115</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0,132</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0,146</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0,157</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0,190</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0,148</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Сурхандарьинская область</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0,126</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0,131</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0,142</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0,153</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0,185</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0,147</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Самаркандская область</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0,134</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0,132</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0,136</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0,148</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0,185</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0,147</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Сырдарьинская область</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0,101</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0,109</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0,108</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0,134</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0,219</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0,134</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Кашкадарьинская область</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0,141</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0,127</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0,116</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0,120</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0,157</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0,132</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Джизакская область</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0,111</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0,106</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0,105</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0,117</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0,163</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0,120</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Республика Каракалпакстан</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0,095</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0,086</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0,086</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0,085</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0,138</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0,098</w:t>
            </w:r>
          </w:p>
        </w:tc>
      </w:tr>
    </w:tbl>
    <w:p w:rsidR="004B6EFE" w:rsidRPr="00F45AB9" w:rsidRDefault="004B6EFE" w:rsidP="004B6EFE">
      <w:pPr>
        <w:pStyle w:val="a4"/>
        <w:spacing w:before="120" w:beforeAutospacing="0" w:after="0" w:afterAutospacing="0"/>
        <w:jc w:val="both"/>
        <w:rPr>
          <w:sz w:val="22"/>
          <w:szCs w:val="22"/>
        </w:rPr>
      </w:pPr>
      <w:r w:rsidRPr="00F45AB9">
        <w:rPr>
          <w:sz w:val="22"/>
          <w:szCs w:val="22"/>
        </w:rPr>
        <w:t xml:space="preserve">Значения потребительского компонента индекса в 2008 году колебались от 0,138 в Республике Каракалпакстан, до 0,656 в Ташкенте (см. </w:t>
      </w:r>
      <w:r w:rsidRPr="00F45AB9">
        <w:rPr>
          <w:sz w:val="22"/>
          <w:szCs w:val="22"/>
          <w:highlight w:val="yellow"/>
        </w:rPr>
        <w:t>Таблицу 1</w:t>
      </w:r>
      <w:r w:rsidRPr="00F45AB9">
        <w:rPr>
          <w:sz w:val="22"/>
          <w:szCs w:val="22"/>
        </w:rPr>
        <w:t>). Соотношение составило 4,75 раза, что близко к соотношению ВРП на душу населения наиболее и наименее богатого регионов. В 2004 году этот разрыв составлял 5,9 раз. Как показывает не только потребительский индикатор, но и исследование межрегиональной вариации и концентрации товарооборота, разрыв в объемах потребления между регионами медленно, но снижается.</w:t>
      </w:r>
    </w:p>
    <w:p w:rsidR="004B6EFE" w:rsidRPr="00F45AB9" w:rsidRDefault="004B6EFE" w:rsidP="004B6EFE">
      <w:pPr>
        <w:pStyle w:val="a4"/>
        <w:spacing w:before="120" w:beforeAutospacing="0" w:after="0" w:afterAutospacing="0"/>
        <w:jc w:val="both"/>
        <w:rPr>
          <w:sz w:val="22"/>
          <w:szCs w:val="22"/>
        </w:rPr>
      </w:pPr>
      <w:r w:rsidRPr="00F45AB9">
        <w:rPr>
          <w:b/>
          <w:sz w:val="22"/>
          <w:szCs w:val="22"/>
        </w:rPr>
        <w:t>Индикатор инвестиций</w:t>
      </w:r>
      <w:r w:rsidRPr="00F45AB9">
        <w:rPr>
          <w:sz w:val="22"/>
          <w:szCs w:val="22"/>
        </w:rPr>
        <w:t>. Для инвестиционного индикатора были взяты два показателя: инвестиции в основной капитал за счет средств частной собственности граждан и инвестиции в жилищное строительство. Первый отражает желание и возможности (прежде всего, финансовые) населения вкладывать средства в собственный бизнес, второй - желание и возможности строить в данном регионе собственное жилье либо вкладывать средства в приобретение жилья в кредит по различным государственным программам. Оба показателя</w:t>
      </w:r>
      <w:r w:rsidR="00006EF9">
        <w:rPr>
          <w:sz w:val="22"/>
          <w:szCs w:val="22"/>
        </w:rPr>
        <w:t>,</w:t>
      </w:r>
      <w:r w:rsidRPr="00F45AB9">
        <w:rPr>
          <w:sz w:val="22"/>
          <w:szCs w:val="22"/>
        </w:rPr>
        <w:t xml:space="preserve"> безусловно</w:t>
      </w:r>
      <w:r w:rsidR="00006EF9">
        <w:rPr>
          <w:sz w:val="22"/>
          <w:szCs w:val="22"/>
        </w:rPr>
        <w:t>,</w:t>
      </w:r>
      <w:r w:rsidRPr="00F45AB9">
        <w:rPr>
          <w:sz w:val="22"/>
          <w:szCs w:val="22"/>
        </w:rPr>
        <w:t xml:space="preserve"> характеризуют не только благосостояние жителей региона, но и его инвестиционную привлекательность. Ведь </w:t>
      </w:r>
      <w:r w:rsidR="00006EF9">
        <w:rPr>
          <w:sz w:val="22"/>
          <w:szCs w:val="22"/>
        </w:rPr>
        <w:t>люди, как правило,</w:t>
      </w:r>
      <w:r w:rsidRPr="00F45AB9">
        <w:rPr>
          <w:sz w:val="22"/>
          <w:szCs w:val="22"/>
        </w:rPr>
        <w:t xml:space="preserve"> не </w:t>
      </w:r>
      <w:r w:rsidR="00006EF9">
        <w:rPr>
          <w:sz w:val="22"/>
          <w:szCs w:val="22"/>
        </w:rPr>
        <w:t xml:space="preserve">развивают бизнес и не </w:t>
      </w:r>
      <w:r w:rsidRPr="00F45AB9">
        <w:rPr>
          <w:sz w:val="22"/>
          <w:szCs w:val="22"/>
        </w:rPr>
        <w:t>стро</w:t>
      </w:r>
      <w:r w:rsidR="00006EF9">
        <w:rPr>
          <w:sz w:val="22"/>
          <w:szCs w:val="22"/>
        </w:rPr>
        <w:t>я</w:t>
      </w:r>
      <w:r w:rsidRPr="00F45AB9">
        <w:rPr>
          <w:sz w:val="22"/>
          <w:szCs w:val="22"/>
        </w:rPr>
        <w:t xml:space="preserve">т дом в местности, где плохо живется. </w:t>
      </w:r>
    </w:p>
    <w:p w:rsidR="004B6EFE" w:rsidRPr="00F45AB9" w:rsidRDefault="004B6EFE" w:rsidP="004B6EFE">
      <w:pPr>
        <w:pStyle w:val="a4"/>
        <w:spacing w:before="120" w:beforeAutospacing="0" w:after="0" w:afterAutospacing="0"/>
        <w:jc w:val="both"/>
        <w:rPr>
          <w:sz w:val="22"/>
          <w:szCs w:val="22"/>
        </w:rPr>
      </w:pPr>
      <w:r w:rsidRPr="00F45AB9">
        <w:rPr>
          <w:sz w:val="22"/>
          <w:szCs w:val="22"/>
        </w:rPr>
        <w:t>Лидеры по инвестиционной активности граждан – Навоийския, Кашкадарьинская. Джизакская, Бухарская, Сырдарьинская и Самаркандская области. Интересно, что Ташкент не находится в числе лидеров.</w:t>
      </w:r>
    </w:p>
    <w:p w:rsidR="004B6EFE" w:rsidRPr="00F45AB9" w:rsidRDefault="004B6EFE" w:rsidP="004B6EFE">
      <w:pPr>
        <w:pStyle w:val="a4"/>
        <w:spacing w:before="120" w:beforeAutospacing="0" w:after="0" w:afterAutospacing="0"/>
        <w:jc w:val="both"/>
        <w:rPr>
          <w:b/>
          <w:sz w:val="22"/>
          <w:szCs w:val="22"/>
        </w:rPr>
      </w:pPr>
      <w:r w:rsidRPr="00F45AB9">
        <w:rPr>
          <w:b/>
          <w:sz w:val="22"/>
          <w:szCs w:val="22"/>
        </w:rPr>
        <w:t>Таблица 2. Инвестиционный компонент ЭИЧР.</w:t>
      </w:r>
    </w:p>
    <w:tbl>
      <w:tblPr>
        <w:tblW w:w="8816" w:type="dxa"/>
        <w:tblInd w:w="100" w:type="dxa"/>
        <w:tblLook w:val="04A0"/>
      </w:tblPr>
      <w:tblGrid>
        <w:gridCol w:w="2985"/>
        <w:gridCol w:w="960"/>
        <w:gridCol w:w="960"/>
        <w:gridCol w:w="960"/>
        <w:gridCol w:w="960"/>
        <w:gridCol w:w="960"/>
        <w:gridCol w:w="1031"/>
      </w:tblGrid>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rPr>
                <w:rFonts w:eastAsia="Times New Roman"/>
                <w:b/>
                <w:bCs/>
                <w:color w:val="000000"/>
                <w:lang w:eastAsia="ru-RU"/>
              </w:rPr>
            </w:pPr>
            <w:r w:rsidRPr="00F45AB9">
              <w:rPr>
                <w:rFonts w:eastAsia="Times New Roman"/>
                <w:b/>
                <w:bCs/>
                <w:color w:val="000000"/>
                <w:sz w:val="22"/>
                <w:lang w:eastAsia="ru-RU"/>
              </w:rPr>
              <w:lastRenderedPageBreak/>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2004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2005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2006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2007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2008</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Среднее</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Навоийская область</w:t>
            </w:r>
          </w:p>
        </w:tc>
        <w:tc>
          <w:tcPr>
            <w:tcW w:w="96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0,0397</w:t>
            </w:r>
          </w:p>
        </w:tc>
        <w:tc>
          <w:tcPr>
            <w:tcW w:w="96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0,0293</w:t>
            </w:r>
          </w:p>
        </w:tc>
        <w:tc>
          <w:tcPr>
            <w:tcW w:w="96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0,0271</w:t>
            </w:r>
          </w:p>
        </w:tc>
        <w:tc>
          <w:tcPr>
            <w:tcW w:w="96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0,0300</w:t>
            </w:r>
          </w:p>
        </w:tc>
        <w:tc>
          <w:tcPr>
            <w:tcW w:w="96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0,0346</w:t>
            </w:r>
          </w:p>
        </w:tc>
        <w:tc>
          <w:tcPr>
            <w:tcW w:w="1031"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0,0322</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Кашкадарьинская область</w:t>
            </w:r>
          </w:p>
        </w:tc>
        <w:tc>
          <w:tcPr>
            <w:tcW w:w="96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0,0308</w:t>
            </w:r>
          </w:p>
        </w:tc>
        <w:tc>
          <w:tcPr>
            <w:tcW w:w="96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0,0283</w:t>
            </w:r>
          </w:p>
        </w:tc>
        <w:tc>
          <w:tcPr>
            <w:tcW w:w="96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0,0269</w:t>
            </w:r>
          </w:p>
        </w:tc>
        <w:tc>
          <w:tcPr>
            <w:tcW w:w="96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0,0293</w:t>
            </w:r>
          </w:p>
        </w:tc>
        <w:tc>
          <w:tcPr>
            <w:tcW w:w="96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0,0316</w:t>
            </w:r>
          </w:p>
        </w:tc>
        <w:tc>
          <w:tcPr>
            <w:tcW w:w="1031"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0,0294</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Джизакская область</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0,0294</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0,0208</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0,0238</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0,0280</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0,0370</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0,0278</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Бухарская область</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0,0249</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0,0248</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0,0251</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0,0265</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0,0328</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0,0268</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Сырдарьинская область</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0,0233</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0,0198</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0,0233</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0,0238</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0,0440</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0,0268</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Самаркандская область</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0,0246</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0,0225</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0,0250</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0,0281</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0,0314</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0,0263</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Наманганская область</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0,0167</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0,0211</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0,0232</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0,0269</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0,0367</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0,0249</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Хорезмская область</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0,0191</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0,0194</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0,0242</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0,0268</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0,0287</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0,0236</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Сурхандарьинская область</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0,0222</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0,0185</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0,0219</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0,0226</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0,0255</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0,0222</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Город Ташкент</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0,0139</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0,0162</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0,0183</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0,0251</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0,0303</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0,0208</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Ташкентская область</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0,0202</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0,0159</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0,0153</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0,0198</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0,0232</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0,0189</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Андижанская область</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0,0161</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0,0161</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0,0159</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0,0194</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0,0231</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0,0181</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Ферганская область</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0,0156</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0,0132</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0,0139</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0,0144</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0,0226</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0,0159</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Республика Каракалпакстан</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0,0174</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0,0102</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0,0103</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0,0110</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0,0191</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0,0136</w:t>
            </w:r>
          </w:p>
        </w:tc>
      </w:tr>
    </w:tbl>
    <w:p w:rsidR="004B6EFE" w:rsidRPr="00F45AB9" w:rsidRDefault="004B6EFE" w:rsidP="004B6EFE">
      <w:pPr>
        <w:pStyle w:val="a4"/>
        <w:spacing w:before="120" w:beforeAutospacing="0" w:after="0" w:afterAutospacing="0"/>
        <w:jc w:val="both"/>
        <w:rPr>
          <w:sz w:val="22"/>
          <w:szCs w:val="22"/>
        </w:rPr>
      </w:pPr>
      <w:r w:rsidRPr="00F45AB9">
        <w:rPr>
          <w:b/>
          <w:sz w:val="22"/>
          <w:szCs w:val="22"/>
        </w:rPr>
        <w:t>Вклады в коммерческих банках</w:t>
      </w:r>
      <w:r w:rsidRPr="00F45AB9">
        <w:rPr>
          <w:sz w:val="22"/>
          <w:szCs w:val="22"/>
        </w:rPr>
        <w:t xml:space="preserve">. Это наиболее мобильный индикатор в значительной степени зависящий от политики банков по привлечению депозитов (процентных ставок, сроков, дополнительных бонусов и т.д.) и от уровня доверия к банкам в различных регионах. При этом, чем больше средств смогут аккумулировать банки на депозитах, тем большим объемом ресурсов для инвестиций в экономику своего и других регионов они имеют возможность  распоряжаться. </w:t>
      </w:r>
    </w:p>
    <w:p w:rsidR="004B6EFE" w:rsidRPr="00F45AB9" w:rsidRDefault="004B6EFE" w:rsidP="004B6EFE">
      <w:pPr>
        <w:pStyle w:val="a4"/>
        <w:spacing w:before="120" w:beforeAutospacing="0" w:after="0" w:afterAutospacing="0"/>
        <w:jc w:val="both"/>
        <w:rPr>
          <w:b/>
          <w:sz w:val="22"/>
          <w:szCs w:val="22"/>
        </w:rPr>
      </w:pPr>
      <w:r w:rsidRPr="00F45AB9">
        <w:rPr>
          <w:b/>
          <w:sz w:val="22"/>
          <w:szCs w:val="22"/>
        </w:rPr>
        <w:t>Таблица 3. Финансовый компонент ЭИЧР (банковские сбережения населения).</w:t>
      </w:r>
    </w:p>
    <w:tbl>
      <w:tblPr>
        <w:tblW w:w="8976" w:type="dxa"/>
        <w:tblInd w:w="100" w:type="dxa"/>
        <w:tblLook w:val="04A0"/>
      </w:tblPr>
      <w:tblGrid>
        <w:gridCol w:w="2985"/>
        <w:gridCol w:w="1000"/>
        <w:gridCol w:w="1000"/>
        <w:gridCol w:w="960"/>
        <w:gridCol w:w="1000"/>
        <w:gridCol w:w="1000"/>
        <w:gridCol w:w="1031"/>
      </w:tblGrid>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rPr>
                <w:rFonts w:eastAsia="Times New Roman"/>
                <w:b/>
                <w:bCs/>
                <w:color w:val="000000"/>
                <w:lang w:eastAsia="ru-RU"/>
              </w:rPr>
            </w:pPr>
            <w:r w:rsidRPr="00F45AB9">
              <w:rPr>
                <w:rFonts w:eastAsia="Times New Roman"/>
                <w:b/>
                <w:bCs/>
                <w:color w:val="000000"/>
                <w:sz w:val="22"/>
                <w:lang w:eastAsia="ru-RU"/>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2004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2005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2006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2007</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2008</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4B6EFE" w:rsidRPr="00F45AB9" w:rsidRDefault="004B6EFE" w:rsidP="0028571B">
            <w:pPr>
              <w:spacing w:after="0" w:line="240" w:lineRule="auto"/>
              <w:jc w:val="center"/>
              <w:rPr>
                <w:rFonts w:eastAsia="Times New Roman"/>
                <w:b/>
                <w:bCs/>
                <w:color w:val="000000"/>
                <w:lang w:eastAsia="ru-RU"/>
              </w:rPr>
            </w:pPr>
            <w:r w:rsidRPr="00F45AB9">
              <w:rPr>
                <w:rFonts w:eastAsia="Times New Roman"/>
                <w:b/>
                <w:bCs/>
                <w:color w:val="000000"/>
                <w:sz w:val="22"/>
                <w:lang w:eastAsia="ru-RU"/>
              </w:rPr>
              <w:t>Среднее</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Город Ташкент</w:t>
            </w:r>
          </w:p>
        </w:tc>
        <w:tc>
          <w:tcPr>
            <w:tcW w:w="100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0,052</w:t>
            </w:r>
          </w:p>
        </w:tc>
        <w:tc>
          <w:tcPr>
            <w:tcW w:w="100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0,062</w:t>
            </w:r>
          </w:p>
        </w:tc>
        <w:tc>
          <w:tcPr>
            <w:tcW w:w="96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0,062</w:t>
            </w:r>
          </w:p>
        </w:tc>
        <w:tc>
          <w:tcPr>
            <w:tcW w:w="100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0,075</w:t>
            </w:r>
          </w:p>
        </w:tc>
        <w:tc>
          <w:tcPr>
            <w:tcW w:w="100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0,075</w:t>
            </w:r>
          </w:p>
        </w:tc>
        <w:tc>
          <w:tcPr>
            <w:tcW w:w="1031"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0,065</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Навоийская область</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0,017</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0,018</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0,021</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0,027</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0,035</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0,024</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Хорезмская область</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0,007</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0,011</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0,012</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0,014</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0,018</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0,013</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Ташкентская область</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0,008</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0,009</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0,011</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0,014</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0,019</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0,012</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Бухарская область</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0,009</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0,010</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0,013</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0,012</w:t>
            </w:r>
          </w:p>
        </w:tc>
        <w:tc>
          <w:tcPr>
            <w:tcW w:w="100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0,017</w:t>
            </w:r>
          </w:p>
        </w:tc>
        <w:tc>
          <w:tcPr>
            <w:tcW w:w="1031"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0,012</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Андижанская область</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0,007</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0,008</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0,009</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0,009</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0,010</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0,008</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Сырдарьинская область</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0,005</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0,006</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0,007</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0,008</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0,013</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0,008</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Самаркандская область</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0,006</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0,006</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0,007</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0,009</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0,011</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0,008</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Ферганская область</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0,005</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0,006</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0,007</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0,008</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0,011</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0,007</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Республика Каракалпакстан</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0,004</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0,005</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0,007</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0,006</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0,011</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0,007</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Кашкадарьинская область</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0,006</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0,005</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0,005</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0,007</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0,010</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0,007</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Сурхандарьинская область</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0,004</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0,005</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0,006</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0,006</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0,009</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0,006</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Джизакская область</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0,004</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0,005</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0,006</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0,006</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0,008</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0,006</w:t>
            </w:r>
          </w:p>
        </w:tc>
      </w:tr>
      <w:tr w:rsidR="004B6EFE" w:rsidRPr="00F45AB9" w:rsidTr="0028571B">
        <w:trPr>
          <w:trHeight w:val="300"/>
        </w:trPr>
        <w:tc>
          <w:tcPr>
            <w:tcW w:w="29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EFE" w:rsidRPr="00F45AB9" w:rsidRDefault="004B6EFE" w:rsidP="0028571B">
            <w:pPr>
              <w:spacing w:after="0" w:line="240" w:lineRule="auto"/>
              <w:rPr>
                <w:rFonts w:eastAsia="Times New Roman"/>
                <w:color w:val="000000"/>
                <w:lang w:eastAsia="ru-RU"/>
              </w:rPr>
            </w:pPr>
            <w:r w:rsidRPr="00F45AB9">
              <w:rPr>
                <w:rFonts w:eastAsia="Times New Roman"/>
                <w:color w:val="000000"/>
                <w:sz w:val="22"/>
                <w:lang w:eastAsia="ru-RU"/>
              </w:rPr>
              <w:t>Наманганская область</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0,004</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0,004</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0,005</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0,006</w:t>
            </w:r>
          </w:p>
        </w:tc>
        <w:tc>
          <w:tcPr>
            <w:tcW w:w="1000"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color w:val="000000"/>
                <w:lang w:eastAsia="ru-RU"/>
              </w:rPr>
            </w:pPr>
            <w:r w:rsidRPr="00F45AB9">
              <w:rPr>
                <w:rFonts w:eastAsia="Times New Roman"/>
                <w:color w:val="000000"/>
                <w:sz w:val="22"/>
                <w:lang w:eastAsia="ru-RU"/>
              </w:rPr>
              <w:t>0,007</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B6EFE" w:rsidRPr="00F45AB9" w:rsidRDefault="004B6EFE" w:rsidP="0028571B">
            <w:pPr>
              <w:spacing w:after="0" w:line="240" w:lineRule="auto"/>
              <w:jc w:val="center"/>
              <w:rPr>
                <w:rFonts w:eastAsia="Times New Roman"/>
                <w:b/>
                <w:color w:val="000000"/>
                <w:lang w:eastAsia="ru-RU"/>
              </w:rPr>
            </w:pPr>
            <w:r w:rsidRPr="00F45AB9">
              <w:rPr>
                <w:rFonts w:eastAsia="Times New Roman"/>
                <w:b/>
                <w:color w:val="000000"/>
                <w:sz w:val="22"/>
                <w:lang w:eastAsia="ru-RU"/>
              </w:rPr>
              <w:t>0,005</w:t>
            </w:r>
          </w:p>
        </w:tc>
      </w:tr>
    </w:tbl>
    <w:p w:rsidR="004B6EFE" w:rsidRPr="00F45AB9" w:rsidRDefault="004B6EFE" w:rsidP="004B6EFE">
      <w:pPr>
        <w:pStyle w:val="a4"/>
        <w:spacing w:before="120" w:beforeAutospacing="0" w:after="0" w:afterAutospacing="0"/>
        <w:jc w:val="both"/>
        <w:rPr>
          <w:sz w:val="22"/>
          <w:szCs w:val="22"/>
        </w:rPr>
      </w:pPr>
      <w:r w:rsidRPr="00F45AB9">
        <w:rPr>
          <w:sz w:val="22"/>
          <w:szCs w:val="22"/>
        </w:rPr>
        <w:t>В то же время из всех компонентов использования дохода вклады в банки – наименьший по объему. За все пять лет только в Ташкенте объем средств, привлекаемых на банковские депозиты</w:t>
      </w:r>
      <w:r w:rsidR="00006EF9">
        <w:rPr>
          <w:sz w:val="22"/>
          <w:szCs w:val="22"/>
        </w:rPr>
        <w:t>,</w:t>
      </w:r>
      <w:r w:rsidRPr="00F45AB9">
        <w:rPr>
          <w:sz w:val="22"/>
          <w:szCs w:val="22"/>
        </w:rPr>
        <w:t xml:space="preserve"> превышал частные инвестиции в основной капитал. В других регионах наоборот ежегодные частные инвестиции в основные фонды оказывались выше, и разрыв зачастую составлял 3-5 раз. Наиболее активно население вкладывает средства на банковские депозиты в Ташкенте, Ташкентской, Навоийской, Бухарской и Хорезмской областях. </w:t>
      </w:r>
    </w:p>
    <w:p w:rsidR="009A0D74" w:rsidRPr="00F45AB9" w:rsidRDefault="009A0D74" w:rsidP="009A0D74">
      <w:pPr>
        <w:spacing w:before="120" w:after="0" w:line="240" w:lineRule="auto"/>
        <w:jc w:val="both"/>
        <w:rPr>
          <w:sz w:val="22"/>
        </w:rPr>
      </w:pPr>
      <w:r w:rsidRPr="00F45AB9">
        <w:rPr>
          <w:b/>
          <w:sz w:val="22"/>
        </w:rPr>
        <w:t>Индекс здоровья</w:t>
      </w:r>
      <w:r w:rsidRPr="00F45AB9">
        <w:rPr>
          <w:sz w:val="22"/>
        </w:rPr>
        <w:t xml:space="preserve">. Индекс здоровья строился, исходя из того, что жизнь должна быть не только долгой, но и здоровой. С учетом этого в состав индекса была включена ожидаемая продолжительность жизни с учетом различий между мужчинами и женщинами (равнораспределенный индекс продолжительности жизни) и уровень заболеваемости отдельными видами болезней по регионам. </w:t>
      </w:r>
    </w:p>
    <w:p w:rsidR="009A0D74" w:rsidRPr="00F45AB9" w:rsidRDefault="009A0D74" w:rsidP="009A0D74">
      <w:pPr>
        <w:spacing w:before="120" w:after="0" w:line="240" w:lineRule="auto"/>
        <w:jc w:val="both"/>
        <w:rPr>
          <w:sz w:val="22"/>
        </w:rPr>
      </w:pPr>
      <w:r w:rsidRPr="00F45AB9">
        <w:rPr>
          <w:sz w:val="22"/>
        </w:rPr>
        <w:lastRenderedPageBreak/>
        <w:t xml:space="preserve">Инфекционные заболевания использованы как показатели индекса в связи с тем, что уровень заболеваемости ими показывает не только состояние системы здравоохранения в целом, но и эффективность санитарно-профилактической работы, а также потому, что такая заболеваемость хорошо регистрируется. Несмотря на высокую социальную значимость, например, сердечно-сосудистых заболеваний, степень их учета низка, хотя бы потому, что многие лица, страдающие такими болезнями не посещают врача. Поэтому нет объективных показателей для оценки уровня заболеваемости сердечно-сосудистысм болезнями. Инфекционные же заболевания в большинстве случаев лечатся в стационарных условиях и, соответственно, имеются данные учета количества заболевших.  </w:t>
      </w:r>
    </w:p>
    <w:p w:rsidR="009A0D74" w:rsidRPr="00F45AB9" w:rsidRDefault="009A0D74" w:rsidP="009A0D74">
      <w:pPr>
        <w:spacing w:before="120" w:after="0" w:line="240" w:lineRule="auto"/>
        <w:jc w:val="both"/>
        <w:rPr>
          <w:sz w:val="22"/>
        </w:rPr>
      </w:pPr>
      <w:r w:rsidRPr="00F45AB9">
        <w:rPr>
          <w:sz w:val="22"/>
        </w:rPr>
        <w:t xml:space="preserve">Индекс здоровья по регионам представлен в </w:t>
      </w:r>
      <w:r w:rsidRPr="00F45AB9">
        <w:rPr>
          <w:sz w:val="22"/>
          <w:highlight w:val="yellow"/>
        </w:rPr>
        <w:t xml:space="preserve">Таблице </w:t>
      </w:r>
      <w:r w:rsidR="00DC6904" w:rsidRPr="00F45AB9">
        <w:rPr>
          <w:sz w:val="22"/>
          <w:highlight w:val="yellow"/>
        </w:rPr>
        <w:t>4</w:t>
      </w:r>
      <w:r w:rsidRPr="00F45AB9">
        <w:rPr>
          <w:sz w:val="22"/>
        </w:rPr>
        <w:t>.</w:t>
      </w:r>
    </w:p>
    <w:p w:rsidR="009A0D74" w:rsidRPr="00F45AB9" w:rsidRDefault="009A0D74" w:rsidP="009A0D74">
      <w:pPr>
        <w:spacing w:before="120" w:after="0" w:line="240" w:lineRule="auto"/>
        <w:rPr>
          <w:b/>
          <w:sz w:val="22"/>
        </w:rPr>
      </w:pPr>
      <w:r w:rsidRPr="00F45AB9">
        <w:rPr>
          <w:b/>
          <w:sz w:val="22"/>
        </w:rPr>
        <w:t xml:space="preserve">Таблица </w:t>
      </w:r>
      <w:r w:rsidR="00DC6904" w:rsidRPr="00F45AB9">
        <w:rPr>
          <w:b/>
          <w:sz w:val="22"/>
        </w:rPr>
        <w:t>4</w:t>
      </w:r>
      <w:r w:rsidRPr="00F45AB9">
        <w:rPr>
          <w:b/>
          <w:sz w:val="22"/>
        </w:rPr>
        <w:t>. Компонент здоровья СИЧР.</w:t>
      </w:r>
    </w:p>
    <w:tbl>
      <w:tblPr>
        <w:tblW w:w="9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894"/>
        <w:gridCol w:w="1080"/>
        <w:gridCol w:w="1080"/>
        <w:gridCol w:w="1080"/>
        <w:gridCol w:w="1080"/>
        <w:gridCol w:w="1080"/>
        <w:gridCol w:w="1080"/>
      </w:tblGrid>
      <w:tr w:rsidR="009A0D74" w:rsidRPr="00F45AB9" w:rsidTr="0053139F">
        <w:trPr>
          <w:trHeight w:val="315"/>
        </w:trPr>
        <w:tc>
          <w:tcPr>
            <w:tcW w:w="2894" w:type="dxa"/>
            <w:tcBorders>
              <w:bottom w:val="single" w:sz="8" w:space="0" w:color="000000"/>
            </w:tcBorders>
            <w:shd w:val="clear" w:color="auto" w:fill="auto"/>
            <w:noWrap/>
            <w:tcMar>
              <w:top w:w="15" w:type="dxa"/>
              <w:left w:w="15" w:type="dxa"/>
              <w:bottom w:w="0" w:type="dxa"/>
              <w:right w:w="15" w:type="dxa"/>
            </w:tcMar>
            <w:vAlign w:val="bottom"/>
            <w:hideMark/>
          </w:tcPr>
          <w:p w:rsidR="009A0D74" w:rsidRPr="00F45AB9" w:rsidRDefault="009A0D74" w:rsidP="0053139F">
            <w:pPr>
              <w:spacing w:after="0" w:line="240" w:lineRule="auto"/>
              <w:rPr>
                <w:b/>
                <w:color w:val="000000"/>
              </w:rPr>
            </w:pPr>
            <w:r w:rsidRPr="00F45AB9">
              <w:rPr>
                <w:b/>
                <w:color w:val="000000"/>
                <w:sz w:val="22"/>
              </w:rPr>
              <w:t>Регион</w:t>
            </w:r>
          </w:p>
        </w:tc>
        <w:tc>
          <w:tcPr>
            <w:tcW w:w="1080" w:type="dxa"/>
            <w:tcBorders>
              <w:bottom w:val="single" w:sz="8" w:space="0" w:color="000000"/>
            </w:tcBorders>
            <w:shd w:val="clear" w:color="auto" w:fill="auto"/>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2004</w:t>
            </w:r>
          </w:p>
        </w:tc>
        <w:tc>
          <w:tcPr>
            <w:tcW w:w="1080" w:type="dxa"/>
            <w:tcBorders>
              <w:bottom w:val="single" w:sz="8" w:space="0" w:color="000000"/>
            </w:tcBorders>
            <w:shd w:val="clear" w:color="auto" w:fill="auto"/>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2005</w:t>
            </w:r>
          </w:p>
        </w:tc>
        <w:tc>
          <w:tcPr>
            <w:tcW w:w="1080" w:type="dxa"/>
            <w:tcBorders>
              <w:bottom w:val="single" w:sz="8" w:space="0" w:color="000000"/>
            </w:tcBorders>
            <w:shd w:val="clear" w:color="auto" w:fill="auto"/>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2006</w:t>
            </w:r>
          </w:p>
        </w:tc>
        <w:tc>
          <w:tcPr>
            <w:tcW w:w="1080" w:type="dxa"/>
            <w:tcBorders>
              <w:bottom w:val="single" w:sz="8" w:space="0" w:color="000000"/>
            </w:tcBorders>
            <w:shd w:val="clear" w:color="auto" w:fill="auto"/>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2007</w:t>
            </w:r>
          </w:p>
        </w:tc>
        <w:tc>
          <w:tcPr>
            <w:tcW w:w="1080" w:type="dxa"/>
            <w:tcBorders>
              <w:bottom w:val="single" w:sz="8" w:space="0" w:color="000000"/>
            </w:tcBorders>
            <w:shd w:val="clear" w:color="auto" w:fill="auto"/>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2008</w:t>
            </w:r>
          </w:p>
        </w:tc>
        <w:tc>
          <w:tcPr>
            <w:tcW w:w="1080" w:type="dxa"/>
            <w:tcBorders>
              <w:bottom w:val="single" w:sz="8" w:space="0" w:color="000000"/>
            </w:tcBorders>
            <w:shd w:val="clear" w:color="auto" w:fill="auto"/>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Среднее</w:t>
            </w:r>
          </w:p>
        </w:tc>
      </w:tr>
      <w:tr w:rsidR="009A0D74" w:rsidRPr="00F45AB9" w:rsidTr="0053139F">
        <w:trPr>
          <w:trHeight w:val="315"/>
        </w:trPr>
        <w:tc>
          <w:tcPr>
            <w:tcW w:w="2894" w:type="dxa"/>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rPr>
                <w:color w:val="000000"/>
              </w:rPr>
            </w:pPr>
            <w:r w:rsidRPr="00F45AB9">
              <w:rPr>
                <w:color w:val="000000"/>
                <w:sz w:val="22"/>
              </w:rPr>
              <w:t>Кашкадарьинская область</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0,7860</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0,7903</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0,7791</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0,7967</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0,8189</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0,7942</w:t>
            </w:r>
          </w:p>
        </w:tc>
      </w:tr>
      <w:tr w:rsidR="009A0D74" w:rsidRPr="00F45AB9" w:rsidTr="0053139F">
        <w:trPr>
          <w:trHeight w:val="315"/>
        </w:trPr>
        <w:tc>
          <w:tcPr>
            <w:tcW w:w="2894" w:type="dxa"/>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rPr>
                <w:color w:val="000000"/>
              </w:rPr>
            </w:pPr>
            <w:r w:rsidRPr="00F45AB9">
              <w:rPr>
                <w:color w:val="000000"/>
                <w:sz w:val="22"/>
              </w:rPr>
              <w:t>Сурхандарьинская область</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0,7908</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0,7781</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0,7787</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0,7955</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0,7933</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0,7873</w:t>
            </w:r>
          </w:p>
        </w:tc>
      </w:tr>
      <w:tr w:rsidR="009A0D74" w:rsidRPr="00F45AB9" w:rsidTr="0053139F">
        <w:trPr>
          <w:trHeight w:val="315"/>
        </w:trPr>
        <w:tc>
          <w:tcPr>
            <w:tcW w:w="2894" w:type="dxa"/>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rPr>
                <w:color w:val="000000"/>
              </w:rPr>
            </w:pPr>
            <w:r w:rsidRPr="00F45AB9">
              <w:rPr>
                <w:color w:val="000000"/>
                <w:sz w:val="22"/>
              </w:rPr>
              <w:t>Бухарская область</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0,7691</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0,7878</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0,7703</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0,7941</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0,7874</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0,7817</w:t>
            </w:r>
          </w:p>
        </w:tc>
      </w:tr>
      <w:tr w:rsidR="009A0D74" w:rsidRPr="00F45AB9" w:rsidTr="0053139F">
        <w:trPr>
          <w:trHeight w:val="315"/>
        </w:trPr>
        <w:tc>
          <w:tcPr>
            <w:tcW w:w="2894" w:type="dxa"/>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rPr>
                <w:color w:val="000000"/>
              </w:rPr>
            </w:pPr>
            <w:r w:rsidRPr="00F45AB9">
              <w:rPr>
                <w:color w:val="000000"/>
                <w:sz w:val="22"/>
              </w:rPr>
              <w:t>Хорезмская область</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0,7749</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0,7823</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0,7621</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0,7734</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0,7632</w:t>
            </w:r>
          </w:p>
        </w:tc>
        <w:tc>
          <w:tcPr>
            <w:tcW w:w="0" w:type="auto"/>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0,7712</w:t>
            </w:r>
          </w:p>
        </w:tc>
      </w:tr>
      <w:tr w:rsidR="009A0D74" w:rsidRPr="00F45AB9" w:rsidTr="0053139F">
        <w:trPr>
          <w:trHeight w:val="315"/>
        </w:trPr>
        <w:tc>
          <w:tcPr>
            <w:tcW w:w="2894" w:type="dxa"/>
            <w:tcBorders>
              <w:bottom w:val="single" w:sz="8" w:space="0" w:color="000000"/>
            </w:tcBorders>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rPr>
                <w:color w:val="000000"/>
              </w:rPr>
            </w:pPr>
            <w:r w:rsidRPr="00F45AB9">
              <w:rPr>
                <w:color w:val="000000"/>
                <w:sz w:val="22"/>
              </w:rPr>
              <w:t>Джизакская область</w:t>
            </w:r>
          </w:p>
        </w:tc>
        <w:tc>
          <w:tcPr>
            <w:tcW w:w="0" w:type="auto"/>
            <w:tcBorders>
              <w:bottom w:val="single" w:sz="8" w:space="0" w:color="000000"/>
            </w:tcBorders>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0,7613</w:t>
            </w:r>
          </w:p>
        </w:tc>
        <w:tc>
          <w:tcPr>
            <w:tcW w:w="0" w:type="auto"/>
            <w:tcBorders>
              <w:bottom w:val="single" w:sz="8" w:space="0" w:color="000000"/>
            </w:tcBorders>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0,7723</w:t>
            </w:r>
          </w:p>
        </w:tc>
        <w:tc>
          <w:tcPr>
            <w:tcW w:w="0" w:type="auto"/>
            <w:tcBorders>
              <w:bottom w:val="single" w:sz="8" w:space="0" w:color="000000"/>
            </w:tcBorders>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0,7538</w:t>
            </w:r>
          </w:p>
        </w:tc>
        <w:tc>
          <w:tcPr>
            <w:tcW w:w="0" w:type="auto"/>
            <w:tcBorders>
              <w:bottom w:val="single" w:sz="8" w:space="0" w:color="000000"/>
            </w:tcBorders>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0,7569</w:t>
            </w:r>
          </w:p>
        </w:tc>
        <w:tc>
          <w:tcPr>
            <w:tcW w:w="0" w:type="auto"/>
            <w:tcBorders>
              <w:bottom w:val="single" w:sz="8" w:space="0" w:color="000000"/>
            </w:tcBorders>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0,7743</w:t>
            </w:r>
          </w:p>
        </w:tc>
        <w:tc>
          <w:tcPr>
            <w:tcW w:w="0" w:type="auto"/>
            <w:tcBorders>
              <w:bottom w:val="single" w:sz="8" w:space="0" w:color="000000"/>
            </w:tcBorders>
            <w:shd w:val="clear" w:color="auto" w:fill="95B3D7" w:themeFill="accent1" w:themeFillTint="99"/>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0,7637</w:t>
            </w:r>
          </w:p>
        </w:tc>
      </w:tr>
      <w:tr w:rsidR="009A0D74" w:rsidRPr="00F45AB9" w:rsidTr="0053139F">
        <w:trPr>
          <w:trHeight w:val="315"/>
        </w:trPr>
        <w:tc>
          <w:tcPr>
            <w:tcW w:w="2894" w:type="dxa"/>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rPr>
                <w:color w:val="000000"/>
              </w:rPr>
            </w:pPr>
            <w:r w:rsidRPr="00F45AB9">
              <w:rPr>
                <w:color w:val="000000"/>
                <w:sz w:val="22"/>
              </w:rPr>
              <w:t>Самаркандская область</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0,7403</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0,7523</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0,7471</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0,7521</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0,7507</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0,7485</w:t>
            </w:r>
          </w:p>
        </w:tc>
      </w:tr>
      <w:tr w:rsidR="009A0D74" w:rsidRPr="00F45AB9" w:rsidTr="0053139F">
        <w:trPr>
          <w:trHeight w:val="315"/>
        </w:trPr>
        <w:tc>
          <w:tcPr>
            <w:tcW w:w="2894" w:type="dxa"/>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rPr>
                <w:color w:val="000000"/>
              </w:rPr>
            </w:pPr>
            <w:r w:rsidRPr="00F45AB9">
              <w:rPr>
                <w:color w:val="000000"/>
                <w:sz w:val="22"/>
              </w:rPr>
              <w:t>Андижанская область</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0,7340</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0,7527</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0,7376</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0,7575</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0,7538</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0,7471</w:t>
            </w:r>
          </w:p>
        </w:tc>
      </w:tr>
      <w:tr w:rsidR="009A0D74" w:rsidRPr="00F45AB9" w:rsidTr="0053139F">
        <w:trPr>
          <w:trHeight w:val="315"/>
        </w:trPr>
        <w:tc>
          <w:tcPr>
            <w:tcW w:w="2894" w:type="dxa"/>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rPr>
                <w:color w:val="000000"/>
              </w:rPr>
            </w:pPr>
            <w:r w:rsidRPr="00F45AB9">
              <w:rPr>
                <w:color w:val="000000"/>
                <w:sz w:val="22"/>
              </w:rPr>
              <w:t>Наманганская область</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0,7186</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0,7426</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0,7331</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0,7241</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0,7410</w:t>
            </w:r>
          </w:p>
        </w:tc>
        <w:tc>
          <w:tcPr>
            <w:tcW w:w="0" w:type="auto"/>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0,7319</w:t>
            </w:r>
          </w:p>
        </w:tc>
      </w:tr>
      <w:tr w:rsidR="009A0D74" w:rsidRPr="00F45AB9" w:rsidTr="0053139F">
        <w:trPr>
          <w:trHeight w:val="315"/>
        </w:trPr>
        <w:tc>
          <w:tcPr>
            <w:tcW w:w="2894" w:type="dxa"/>
            <w:tcBorders>
              <w:bottom w:val="single" w:sz="8" w:space="0" w:color="000000"/>
            </w:tcBorders>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rPr>
                <w:color w:val="000000"/>
              </w:rPr>
            </w:pPr>
            <w:r w:rsidRPr="00F45AB9">
              <w:rPr>
                <w:color w:val="000000"/>
                <w:sz w:val="22"/>
              </w:rPr>
              <w:t>Ферганская область</w:t>
            </w:r>
          </w:p>
        </w:tc>
        <w:tc>
          <w:tcPr>
            <w:tcW w:w="0" w:type="auto"/>
            <w:tcBorders>
              <w:bottom w:val="single" w:sz="8" w:space="0" w:color="000000"/>
            </w:tcBorders>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0,6903</w:t>
            </w:r>
          </w:p>
        </w:tc>
        <w:tc>
          <w:tcPr>
            <w:tcW w:w="0" w:type="auto"/>
            <w:tcBorders>
              <w:bottom w:val="single" w:sz="8" w:space="0" w:color="000000"/>
            </w:tcBorders>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0,7108</w:t>
            </w:r>
          </w:p>
        </w:tc>
        <w:tc>
          <w:tcPr>
            <w:tcW w:w="0" w:type="auto"/>
            <w:tcBorders>
              <w:bottom w:val="single" w:sz="8" w:space="0" w:color="000000"/>
            </w:tcBorders>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0,7155</w:t>
            </w:r>
          </w:p>
        </w:tc>
        <w:tc>
          <w:tcPr>
            <w:tcW w:w="0" w:type="auto"/>
            <w:tcBorders>
              <w:bottom w:val="single" w:sz="8" w:space="0" w:color="000000"/>
            </w:tcBorders>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0,7274</w:t>
            </w:r>
          </w:p>
        </w:tc>
        <w:tc>
          <w:tcPr>
            <w:tcW w:w="0" w:type="auto"/>
            <w:tcBorders>
              <w:bottom w:val="single" w:sz="8" w:space="0" w:color="000000"/>
            </w:tcBorders>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0,7194</w:t>
            </w:r>
          </w:p>
        </w:tc>
        <w:tc>
          <w:tcPr>
            <w:tcW w:w="0" w:type="auto"/>
            <w:tcBorders>
              <w:bottom w:val="single" w:sz="8" w:space="0" w:color="000000"/>
            </w:tcBorders>
            <w:shd w:val="clear" w:color="auto" w:fill="E36C0A" w:themeFill="accent6" w:themeFillShade="BF"/>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0,7127</w:t>
            </w:r>
          </w:p>
        </w:tc>
      </w:tr>
      <w:tr w:rsidR="009A0D74" w:rsidRPr="00F45AB9" w:rsidTr="0053139F">
        <w:trPr>
          <w:trHeight w:val="315"/>
        </w:trPr>
        <w:tc>
          <w:tcPr>
            <w:tcW w:w="2894" w:type="dxa"/>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rPr>
                <w:color w:val="000000"/>
              </w:rPr>
            </w:pPr>
            <w:r w:rsidRPr="00F45AB9">
              <w:rPr>
                <w:color w:val="000000"/>
                <w:sz w:val="22"/>
              </w:rPr>
              <w:t>Город Ташкент</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0,6591</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0,6938</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0,6675</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0,6998</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0,7376</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0,6916</w:t>
            </w:r>
          </w:p>
        </w:tc>
      </w:tr>
      <w:tr w:rsidR="009A0D74" w:rsidRPr="00F45AB9" w:rsidTr="0053139F">
        <w:trPr>
          <w:trHeight w:val="315"/>
        </w:trPr>
        <w:tc>
          <w:tcPr>
            <w:tcW w:w="2894" w:type="dxa"/>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rPr>
                <w:color w:val="000000"/>
              </w:rPr>
            </w:pPr>
            <w:r w:rsidRPr="00F45AB9">
              <w:rPr>
                <w:color w:val="000000"/>
                <w:sz w:val="22"/>
              </w:rPr>
              <w:t>Навоийская область</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0,6855</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0,6909</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0,6811</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0,6752</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0,6503</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0,6766</w:t>
            </w:r>
          </w:p>
        </w:tc>
      </w:tr>
      <w:tr w:rsidR="009A0D74" w:rsidRPr="00F45AB9" w:rsidTr="0053139F">
        <w:trPr>
          <w:trHeight w:val="315"/>
        </w:trPr>
        <w:tc>
          <w:tcPr>
            <w:tcW w:w="2894" w:type="dxa"/>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rPr>
                <w:color w:val="000000"/>
              </w:rPr>
            </w:pPr>
            <w:r w:rsidRPr="00F45AB9">
              <w:rPr>
                <w:color w:val="000000"/>
                <w:sz w:val="22"/>
              </w:rPr>
              <w:t>Сырдарьинская область</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0,6546</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0,6905</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0,6435</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0,6545</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0,6800</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0,6646</w:t>
            </w:r>
          </w:p>
        </w:tc>
      </w:tr>
      <w:tr w:rsidR="009A0D74" w:rsidRPr="00F45AB9" w:rsidTr="0053139F">
        <w:trPr>
          <w:trHeight w:val="315"/>
        </w:trPr>
        <w:tc>
          <w:tcPr>
            <w:tcW w:w="2894" w:type="dxa"/>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rPr>
                <w:color w:val="000000"/>
              </w:rPr>
            </w:pPr>
            <w:r w:rsidRPr="00F45AB9">
              <w:rPr>
                <w:color w:val="000000"/>
                <w:sz w:val="22"/>
              </w:rPr>
              <w:t>Республика Каракалпакстан</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0,6571</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0,6516</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0,6481</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0,6664</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0,6376</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0,6521</w:t>
            </w:r>
          </w:p>
        </w:tc>
      </w:tr>
      <w:tr w:rsidR="009A0D74" w:rsidRPr="00F45AB9" w:rsidTr="0053139F">
        <w:trPr>
          <w:trHeight w:val="315"/>
        </w:trPr>
        <w:tc>
          <w:tcPr>
            <w:tcW w:w="2894" w:type="dxa"/>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rPr>
                <w:color w:val="000000"/>
              </w:rPr>
            </w:pPr>
            <w:r w:rsidRPr="00F45AB9">
              <w:rPr>
                <w:color w:val="000000"/>
                <w:sz w:val="22"/>
              </w:rPr>
              <w:t>Ташкентская область</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0,6053</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0,6031</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0,6110</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0,6113</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color w:val="000000"/>
              </w:rPr>
            </w:pPr>
            <w:r w:rsidRPr="00F45AB9">
              <w:rPr>
                <w:color w:val="000000"/>
                <w:sz w:val="22"/>
              </w:rPr>
              <w:t>0,6467</w:t>
            </w:r>
          </w:p>
        </w:tc>
        <w:tc>
          <w:tcPr>
            <w:tcW w:w="0" w:type="auto"/>
            <w:shd w:val="clear" w:color="auto" w:fill="FBD4B4" w:themeFill="accent6" w:themeFillTint="66"/>
            <w:noWrap/>
            <w:tcMar>
              <w:top w:w="15" w:type="dxa"/>
              <w:left w:w="15" w:type="dxa"/>
              <w:bottom w:w="0" w:type="dxa"/>
              <w:right w:w="15" w:type="dxa"/>
            </w:tcMar>
            <w:vAlign w:val="bottom"/>
            <w:hideMark/>
          </w:tcPr>
          <w:p w:rsidR="009A0D74" w:rsidRPr="00F45AB9" w:rsidRDefault="009A0D74" w:rsidP="0053139F">
            <w:pPr>
              <w:spacing w:after="0" w:line="240" w:lineRule="auto"/>
              <w:jc w:val="center"/>
              <w:rPr>
                <w:b/>
                <w:color w:val="000000"/>
              </w:rPr>
            </w:pPr>
            <w:r w:rsidRPr="00F45AB9">
              <w:rPr>
                <w:b/>
                <w:color w:val="000000"/>
                <w:sz w:val="22"/>
              </w:rPr>
              <w:t>0,6155</w:t>
            </w:r>
          </w:p>
        </w:tc>
      </w:tr>
    </w:tbl>
    <w:p w:rsidR="009A0D74" w:rsidRPr="00F45AB9" w:rsidRDefault="009A0D74" w:rsidP="009A0D74">
      <w:pPr>
        <w:pStyle w:val="a4"/>
        <w:spacing w:before="120" w:beforeAutospacing="0" w:after="0" w:afterAutospacing="0"/>
        <w:jc w:val="both"/>
        <w:rPr>
          <w:sz w:val="22"/>
          <w:szCs w:val="22"/>
        </w:rPr>
      </w:pPr>
      <w:r w:rsidRPr="00F45AB9">
        <w:rPr>
          <w:sz w:val="22"/>
          <w:szCs w:val="22"/>
        </w:rPr>
        <w:t>Джизакская область имеет наиболее высокую продолжительность жизни женщин - 78,5 года в 2008 году. Мужчины дольше всего живут в Сурхандарьинской области – 72,6 года. Лидирующая в рейтинге Кашкадарьинская область имеет второй результат как для женщин (77 лет), так и для мужчин (71,9 года). Меньше всего ожидаемая продолжительность жизни женщин в Каракалпакстане - 71,2 года, а мужчин – в Ташкенте – 66,5 года, что и определяет его место в нижней части рейтинга. Кроме того, в Ташкенте самая высокая разница между ожидаемой продолжительностью жизни мужчин и женщин: у мужчин она на 7,9 года меньше. Также значителен этот разрыв в Джизакской (6,9) и Ташкентской (6,5 года) областях.</w:t>
      </w:r>
    </w:p>
    <w:p w:rsidR="009A0D74" w:rsidRPr="00F45AB9" w:rsidRDefault="009A0D74" w:rsidP="009A0D74">
      <w:pPr>
        <w:pStyle w:val="a4"/>
        <w:spacing w:before="120" w:beforeAutospacing="0" w:after="0" w:afterAutospacing="0"/>
        <w:jc w:val="both"/>
        <w:rPr>
          <w:sz w:val="22"/>
          <w:szCs w:val="22"/>
        </w:rPr>
      </w:pPr>
      <w:r w:rsidRPr="00F45AB9">
        <w:rPr>
          <w:sz w:val="22"/>
          <w:szCs w:val="22"/>
        </w:rPr>
        <w:t>Заболеваемость активным туберкулезом быстрее всего снижалась в Кашкадарьинской области, уменьшившись за 2004-2008 год с одного из самых высоких в стране уровней – 92,7 случаев на 100 тыс. населения до 62,4 случая на 100 тыс. В Джизакской области количество больных активным туберкулезом не уменьшилось и составило в 2008 году 73,7 случая на 100 тыс. населения, а в Навоийской, Сырдарьинской областях и Республике Каракалпакстан снижение заболеваемости было незначительным. При этом в Каракалпакстане уровень заболеваемости активным туберкулезом остается самым высоким в стране – 119,1 случая на 100 тыс. населения, а самый низкий уровень – в Бухарской области – 47,7 случая на 100 тыс. Эти цифры важны, потому что борьба с туберкулезом входит в число задач, сформулированных в национальных Целях развития тысячелетия и снижение распространенности туберкулеза – важный индикатор их достижения.</w:t>
      </w:r>
    </w:p>
    <w:p w:rsidR="009A0D74" w:rsidRPr="00F45AB9" w:rsidRDefault="009A0D74" w:rsidP="009A0D74">
      <w:pPr>
        <w:pStyle w:val="a4"/>
        <w:spacing w:before="120" w:beforeAutospacing="0" w:after="0" w:afterAutospacing="0"/>
        <w:jc w:val="both"/>
        <w:rPr>
          <w:sz w:val="22"/>
          <w:szCs w:val="22"/>
        </w:rPr>
      </w:pPr>
      <w:r w:rsidRPr="00F45AB9">
        <w:rPr>
          <w:sz w:val="22"/>
          <w:szCs w:val="22"/>
        </w:rPr>
        <w:t xml:space="preserve">Борьба с вирусными гепатитами хотя и не входит в число ЦРТ, является важнейшей задачей системы здравоохранения в силу их значительной распространенности (особенно гепатитов «А» и «В»), наличия серьезных осложнений и хронизации, что снижает качество жизни многих людей. Уменьшить распространенность гепатитов позволяет вакцинация. Поэтому уровень </w:t>
      </w:r>
      <w:r w:rsidRPr="00F45AB9">
        <w:rPr>
          <w:sz w:val="22"/>
          <w:szCs w:val="22"/>
        </w:rPr>
        <w:lastRenderedPageBreak/>
        <w:t xml:space="preserve">распространенности этих заболеваний говорит и о качестве профилактической работы в регионах. За 2004-2008 год рост заболеваемости гепатитами зафиксирован в Навоийской, Сурхандарьинской областях и республике Каракалпакстан. </w:t>
      </w:r>
      <w:r w:rsidR="00AC60FF">
        <w:rPr>
          <w:sz w:val="22"/>
          <w:szCs w:val="22"/>
        </w:rPr>
        <w:t>Н</w:t>
      </w:r>
      <w:r w:rsidRPr="00F45AB9">
        <w:rPr>
          <w:sz w:val="22"/>
          <w:szCs w:val="22"/>
        </w:rPr>
        <w:t>аибольший уровень заболеваемости в 2008 году наблюдался в Навоийской (200,2), Сырдарьинской (158,4) областях и республике Каракалпакстан – 177,7 случая на 100 тыс. населения. Наиболее благополучными регионами по вирусным гепатитам в 2008 году были Сурхандарьинская область - 46,2, Хорезмская- 82,2 и Бухарская- 86 случаев на 100 тыс. населения.</w:t>
      </w:r>
    </w:p>
    <w:p w:rsidR="009A0D74" w:rsidRPr="00F45AB9" w:rsidRDefault="009A0D74" w:rsidP="009A0D74">
      <w:pPr>
        <w:pStyle w:val="a4"/>
        <w:spacing w:before="120" w:beforeAutospacing="0" w:after="0" w:afterAutospacing="0"/>
        <w:jc w:val="both"/>
        <w:rPr>
          <w:sz w:val="22"/>
          <w:szCs w:val="22"/>
        </w:rPr>
      </w:pPr>
      <w:r w:rsidRPr="00F45AB9">
        <w:rPr>
          <w:sz w:val="22"/>
          <w:szCs w:val="22"/>
        </w:rPr>
        <w:t>Бактериальная дизентерия – одна из самых распространенных кишечных инфекций, особенно у детей. Уровень заболеваемости ею характеризует качество медицинского обслуживания, качество работы различных детских учреждений и, наконец, состояние санитарной культуры в регионе. Фактор наличия детских дошкольных учреждений играет существенную роль. Об этом свидетельствуют стабильно высокие показатели заболеваемости в Ташкентской (от 38,4 до 54,4 случая на 100 тыс. населения в течении последних пяти лет) и Навоийской (30,4-38,4 случая на 100 тыс. населения) областях. В Ташкенте, где имеется большое количество частных малокомплектных детских садов этот уровень существенно ниже. Причем он упал с 24,5 в 2004 до 9,7 случаев на 100 тыс. населения в 2008 г., последовательно снижаясь в период 2004-2008 годов. Но наиболее благополучными по этому заболеванию выглядят Андижанская, Бухарская и Сурхандарьинская области, где фиксируется 1-3 случая заболевания бактериальной дизентерией на 100 тыс.  населения в год.</w:t>
      </w:r>
    </w:p>
    <w:p w:rsidR="009A0D74" w:rsidRPr="00F45AB9" w:rsidRDefault="009A0D74" w:rsidP="009A0D74">
      <w:pPr>
        <w:pStyle w:val="a4"/>
        <w:spacing w:before="120" w:beforeAutospacing="0" w:after="0" w:afterAutospacing="0"/>
        <w:jc w:val="both"/>
        <w:rPr>
          <w:sz w:val="22"/>
          <w:szCs w:val="22"/>
        </w:rPr>
      </w:pPr>
      <w:r w:rsidRPr="00F45AB9">
        <w:rPr>
          <w:sz w:val="22"/>
          <w:szCs w:val="22"/>
        </w:rPr>
        <w:t>Таким образом, по индексу здоровья все регионы можно разделить на три группы: занимающие первые пять мест в рейтинге имеют выраженные успехи по тем или иным показателям. Вторая группа, состоящая из четырех регионов, включающая все области Ферганской долины и Самаркандскую область</w:t>
      </w:r>
      <w:r w:rsidR="00AC60FF">
        <w:rPr>
          <w:sz w:val="22"/>
          <w:szCs w:val="22"/>
        </w:rPr>
        <w:t>,</w:t>
      </w:r>
      <w:r w:rsidRPr="00F45AB9">
        <w:rPr>
          <w:sz w:val="22"/>
          <w:szCs w:val="22"/>
        </w:rPr>
        <w:t xml:space="preserve"> имеет устойчивые показатели состояния здоровья населения. И нижняя группа, состоящая из пяти регионов характеризуется наличием отставания либо по уровню ожидаемой продолжительности жизни, либо по показателям заболеваемости.</w:t>
      </w:r>
    </w:p>
    <w:p w:rsidR="004C266D" w:rsidRPr="00F45AB9" w:rsidRDefault="004C266D" w:rsidP="004C266D">
      <w:pPr>
        <w:pStyle w:val="a4"/>
        <w:spacing w:before="120" w:beforeAutospacing="0" w:after="0" w:afterAutospacing="0"/>
        <w:jc w:val="both"/>
        <w:rPr>
          <w:sz w:val="22"/>
          <w:szCs w:val="22"/>
        </w:rPr>
      </w:pPr>
      <w:r w:rsidRPr="00F45AB9">
        <w:rPr>
          <w:b/>
          <w:sz w:val="22"/>
          <w:szCs w:val="22"/>
        </w:rPr>
        <w:t xml:space="preserve">Индекс образования. </w:t>
      </w:r>
      <w:r w:rsidRPr="00F45AB9">
        <w:rPr>
          <w:sz w:val="22"/>
          <w:szCs w:val="22"/>
        </w:rPr>
        <w:t>Образовательный компонент строится на основе следующих показателей:</w:t>
      </w:r>
    </w:p>
    <w:p w:rsidR="004C266D" w:rsidRPr="00F45AB9" w:rsidRDefault="004C266D" w:rsidP="004C266D">
      <w:pPr>
        <w:pStyle w:val="a4"/>
        <w:numPr>
          <w:ilvl w:val="0"/>
          <w:numId w:val="1"/>
        </w:numPr>
        <w:spacing w:before="120" w:beforeAutospacing="0" w:after="0" w:afterAutospacing="0"/>
        <w:ind w:left="0" w:firstLine="0"/>
        <w:jc w:val="both"/>
        <w:rPr>
          <w:sz w:val="22"/>
          <w:szCs w:val="22"/>
        </w:rPr>
      </w:pPr>
      <w:r w:rsidRPr="00F45AB9">
        <w:rPr>
          <w:sz w:val="22"/>
          <w:szCs w:val="22"/>
        </w:rPr>
        <w:t>доля преподавателей с высшим образованием в общеобразовательных школах;</w:t>
      </w:r>
    </w:p>
    <w:p w:rsidR="004C266D" w:rsidRPr="00F45AB9" w:rsidRDefault="004C266D" w:rsidP="004C266D">
      <w:pPr>
        <w:pStyle w:val="a4"/>
        <w:numPr>
          <w:ilvl w:val="0"/>
          <w:numId w:val="1"/>
        </w:numPr>
        <w:spacing w:before="120" w:beforeAutospacing="0" w:after="0" w:afterAutospacing="0"/>
        <w:ind w:left="0" w:firstLine="0"/>
        <w:jc w:val="both"/>
        <w:rPr>
          <w:sz w:val="22"/>
          <w:szCs w:val="22"/>
        </w:rPr>
      </w:pPr>
      <w:r w:rsidRPr="00F45AB9">
        <w:rPr>
          <w:sz w:val="22"/>
          <w:szCs w:val="22"/>
        </w:rPr>
        <w:t>доля преподавателей с высшим образованием в средних специальных профессиональных учебных заведениях;</w:t>
      </w:r>
    </w:p>
    <w:p w:rsidR="004C266D" w:rsidRPr="00F45AB9" w:rsidRDefault="004C266D" w:rsidP="004C266D">
      <w:pPr>
        <w:pStyle w:val="a4"/>
        <w:numPr>
          <w:ilvl w:val="0"/>
          <w:numId w:val="1"/>
        </w:numPr>
        <w:spacing w:before="120" w:beforeAutospacing="0" w:after="0" w:afterAutospacing="0"/>
        <w:ind w:left="0" w:firstLine="0"/>
        <w:jc w:val="both"/>
        <w:rPr>
          <w:sz w:val="22"/>
          <w:szCs w:val="22"/>
        </w:rPr>
      </w:pPr>
      <w:r w:rsidRPr="00F45AB9">
        <w:rPr>
          <w:sz w:val="22"/>
          <w:szCs w:val="22"/>
        </w:rPr>
        <w:t>доля преподавателей вузов, имеющих ученые степени.</w:t>
      </w:r>
    </w:p>
    <w:p w:rsidR="004C266D" w:rsidRPr="00F45AB9" w:rsidRDefault="004C266D" w:rsidP="004C266D">
      <w:pPr>
        <w:pStyle w:val="a4"/>
        <w:spacing w:before="120" w:beforeAutospacing="0" w:after="0" w:afterAutospacing="0"/>
        <w:jc w:val="both"/>
        <w:rPr>
          <w:sz w:val="22"/>
          <w:szCs w:val="22"/>
        </w:rPr>
      </w:pPr>
      <w:r w:rsidRPr="00F45AB9">
        <w:rPr>
          <w:sz w:val="22"/>
          <w:szCs w:val="22"/>
        </w:rPr>
        <w:t>Эти три показателя составляют отдельный субиндекс – уровня квалификации преподавателей.</w:t>
      </w:r>
    </w:p>
    <w:p w:rsidR="004C266D" w:rsidRPr="00F45AB9" w:rsidRDefault="004C266D" w:rsidP="004C266D">
      <w:pPr>
        <w:pStyle w:val="a4"/>
        <w:spacing w:before="120" w:beforeAutospacing="0" w:after="0" w:afterAutospacing="0"/>
        <w:jc w:val="both"/>
        <w:rPr>
          <w:sz w:val="22"/>
          <w:szCs w:val="22"/>
        </w:rPr>
      </w:pPr>
      <w:r w:rsidRPr="00F45AB9">
        <w:rPr>
          <w:sz w:val="22"/>
          <w:szCs w:val="22"/>
        </w:rPr>
        <w:t>Кроме этих показателей в состав образовательного компонента входят:</w:t>
      </w:r>
    </w:p>
    <w:p w:rsidR="004C266D" w:rsidRPr="00F45AB9" w:rsidRDefault="004C266D" w:rsidP="004C266D">
      <w:pPr>
        <w:pStyle w:val="a4"/>
        <w:numPr>
          <w:ilvl w:val="0"/>
          <w:numId w:val="3"/>
        </w:numPr>
        <w:spacing w:before="120" w:beforeAutospacing="0" w:after="0" w:afterAutospacing="0"/>
        <w:ind w:left="0" w:firstLine="0"/>
        <w:jc w:val="both"/>
        <w:rPr>
          <w:sz w:val="22"/>
          <w:szCs w:val="22"/>
        </w:rPr>
      </w:pPr>
      <w:r w:rsidRPr="00F45AB9">
        <w:rPr>
          <w:sz w:val="22"/>
          <w:szCs w:val="22"/>
        </w:rPr>
        <w:t>доля населения старше 25 лет, имеющего высшее образование в общей численности населения региона (в %);</w:t>
      </w:r>
    </w:p>
    <w:p w:rsidR="004C266D" w:rsidRPr="00F45AB9" w:rsidRDefault="004C266D" w:rsidP="004C266D">
      <w:pPr>
        <w:pStyle w:val="a4"/>
        <w:numPr>
          <w:ilvl w:val="0"/>
          <w:numId w:val="3"/>
        </w:numPr>
        <w:spacing w:before="120" w:beforeAutospacing="0" w:after="0" w:afterAutospacing="0"/>
        <w:ind w:left="0" w:firstLine="0"/>
        <w:jc w:val="both"/>
        <w:rPr>
          <w:sz w:val="22"/>
          <w:szCs w:val="22"/>
        </w:rPr>
      </w:pPr>
      <w:r w:rsidRPr="00F45AB9">
        <w:rPr>
          <w:sz w:val="22"/>
          <w:szCs w:val="22"/>
        </w:rPr>
        <w:t>охват детей в возрасте 1-6 лет дошкольными учреждениями (в % от общего числа детей соответствующего возраста).</w:t>
      </w:r>
    </w:p>
    <w:p w:rsidR="004C266D" w:rsidRPr="00F45AB9" w:rsidRDefault="004C266D" w:rsidP="004C266D">
      <w:pPr>
        <w:pStyle w:val="a4"/>
        <w:spacing w:before="120" w:beforeAutospacing="0" w:after="0" w:afterAutospacing="0"/>
        <w:jc w:val="both"/>
        <w:rPr>
          <w:sz w:val="22"/>
          <w:szCs w:val="22"/>
        </w:rPr>
      </w:pPr>
      <w:r w:rsidRPr="00F45AB9">
        <w:rPr>
          <w:sz w:val="22"/>
          <w:szCs w:val="22"/>
        </w:rPr>
        <w:t xml:space="preserve">Доля населения с высшим образованием </w:t>
      </w:r>
      <w:r w:rsidR="00B11D38">
        <w:rPr>
          <w:sz w:val="22"/>
          <w:szCs w:val="22"/>
        </w:rPr>
        <w:t xml:space="preserve">- </w:t>
      </w:r>
      <w:r w:rsidRPr="00F45AB9">
        <w:rPr>
          <w:sz w:val="22"/>
          <w:szCs w:val="22"/>
        </w:rPr>
        <w:t>важный показатель потенциала региона, в том числе его возможности генерировать новые знания, обучать молодежь, качественно выполнять сложные и высокотехнологичные виды работ. Но эта доля не является результатом только действующей в настоящее время системы высшего образования, так как высшее образование могло быть получено много лет назад или за рубежом. Поэтому если уровень квалификации преподавателей получил вес 50%, то доля населения старше 25 лет с высшим образованием - только 25%.</w:t>
      </w:r>
    </w:p>
    <w:p w:rsidR="004C266D" w:rsidRPr="00F45AB9" w:rsidRDefault="004C266D" w:rsidP="004C266D">
      <w:pPr>
        <w:pStyle w:val="a4"/>
        <w:spacing w:before="120" w:beforeAutospacing="0" w:after="0" w:afterAutospacing="0"/>
        <w:jc w:val="both"/>
        <w:rPr>
          <w:sz w:val="22"/>
          <w:szCs w:val="22"/>
        </w:rPr>
      </w:pPr>
      <w:r w:rsidRPr="00F45AB9">
        <w:rPr>
          <w:sz w:val="22"/>
          <w:szCs w:val="22"/>
        </w:rPr>
        <w:t xml:space="preserve">Охват дошкольными учреждениями детей младшего возраста является важным показателем их социализации, степени подготовки к школе. Он также отражает возможность женщин участвовать в общественном производстве, но сам по себе охват не отражает качество подготовки к школе, а лишь предполагает, что профессиональные педагоги способны сделать это лучше, чем родители. В соответствии с этим, показатель охвата детей в возрасте от 1 до 6 лет дошкольными учреждениями, как фактор дальнейшего успешного старта в образовании получил вес 25%. Сравнение регионов по индексу образования представлено в </w:t>
      </w:r>
      <w:r w:rsidRPr="00F45AB9">
        <w:rPr>
          <w:sz w:val="22"/>
          <w:szCs w:val="22"/>
          <w:highlight w:val="yellow"/>
        </w:rPr>
        <w:t xml:space="preserve">Таблице </w:t>
      </w:r>
      <w:r w:rsidR="00DC6904" w:rsidRPr="00F45AB9">
        <w:rPr>
          <w:sz w:val="22"/>
          <w:szCs w:val="22"/>
          <w:highlight w:val="yellow"/>
        </w:rPr>
        <w:t>5</w:t>
      </w:r>
      <w:r w:rsidRPr="00F45AB9">
        <w:rPr>
          <w:sz w:val="22"/>
          <w:szCs w:val="22"/>
        </w:rPr>
        <w:t>.</w:t>
      </w:r>
    </w:p>
    <w:p w:rsidR="00751806" w:rsidRPr="00F45AB9" w:rsidRDefault="00751806" w:rsidP="00751806">
      <w:pPr>
        <w:spacing w:before="120" w:after="0" w:line="240" w:lineRule="auto"/>
        <w:jc w:val="both"/>
        <w:rPr>
          <w:sz w:val="22"/>
        </w:rPr>
      </w:pPr>
      <w:r w:rsidRPr="00F45AB9">
        <w:rPr>
          <w:sz w:val="22"/>
        </w:rPr>
        <w:t xml:space="preserve">Город Ташкент является безусловным лидером по показателям образования. Здесь самая высокая доля учителей школ с высшим образованием. В 2008 году она составила 87,9%. В Навоийской </w:t>
      </w:r>
      <w:r w:rsidRPr="00F45AB9">
        <w:rPr>
          <w:sz w:val="22"/>
        </w:rPr>
        <w:lastRenderedPageBreak/>
        <w:t xml:space="preserve">области учителей школ, имеющих высшее образование - 77,1%, в Джизакской- 75%. В других регионах этот показатель еще меньше. Самым низким он является в Каракалпакии – 55,2%. </w:t>
      </w:r>
    </w:p>
    <w:p w:rsidR="004C266D" w:rsidRPr="00F45AB9" w:rsidRDefault="004C266D" w:rsidP="004C266D">
      <w:pPr>
        <w:pStyle w:val="a4"/>
        <w:spacing w:before="120" w:beforeAutospacing="0" w:after="0" w:afterAutospacing="0"/>
        <w:jc w:val="both"/>
        <w:rPr>
          <w:b/>
          <w:sz w:val="22"/>
          <w:szCs w:val="22"/>
        </w:rPr>
      </w:pPr>
      <w:r w:rsidRPr="00F45AB9">
        <w:rPr>
          <w:b/>
          <w:sz w:val="22"/>
          <w:szCs w:val="22"/>
        </w:rPr>
        <w:t xml:space="preserve">Таблица </w:t>
      </w:r>
      <w:r w:rsidR="00DC6904" w:rsidRPr="00F45AB9">
        <w:rPr>
          <w:b/>
          <w:sz w:val="22"/>
          <w:szCs w:val="22"/>
        </w:rPr>
        <w:t>5</w:t>
      </w:r>
      <w:r w:rsidRPr="00F45AB9">
        <w:rPr>
          <w:b/>
          <w:sz w:val="22"/>
          <w:szCs w:val="22"/>
        </w:rPr>
        <w:t>. Компонент образования СИЧР.</w:t>
      </w:r>
    </w:p>
    <w:tbl>
      <w:tblPr>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673"/>
        <w:gridCol w:w="1080"/>
        <w:gridCol w:w="1080"/>
        <w:gridCol w:w="1080"/>
        <w:gridCol w:w="1080"/>
        <w:gridCol w:w="1080"/>
        <w:gridCol w:w="1080"/>
      </w:tblGrid>
      <w:tr w:rsidR="004C266D" w:rsidRPr="00F45AB9" w:rsidTr="0053139F">
        <w:trPr>
          <w:trHeight w:val="315"/>
        </w:trPr>
        <w:tc>
          <w:tcPr>
            <w:tcW w:w="2400" w:type="dxa"/>
            <w:tcBorders>
              <w:bottom w:val="single" w:sz="8" w:space="0" w:color="000000"/>
            </w:tcBorders>
            <w:shd w:val="clear" w:color="auto" w:fill="auto"/>
            <w:noWrap/>
            <w:tcMar>
              <w:top w:w="15" w:type="dxa"/>
              <w:left w:w="15" w:type="dxa"/>
              <w:bottom w:w="0" w:type="dxa"/>
              <w:right w:w="15" w:type="dxa"/>
            </w:tcMar>
            <w:vAlign w:val="bottom"/>
            <w:hideMark/>
          </w:tcPr>
          <w:p w:rsidR="004C266D" w:rsidRPr="00F45AB9" w:rsidRDefault="004C266D" w:rsidP="0053139F">
            <w:pPr>
              <w:spacing w:after="0" w:line="240" w:lineRule="auto"/>
              <w:rPr>
                <w:b/>
                <w:color w:val="000000"/>
              </w:rPr>
            </w:pPr>
            <w:r w:rsidRPr="00F45AB9">
              <w:rPr>
                <w:b/>
                <w:color w:val="000000"/>
                <w:sz w:val="22"/>
              </w:rPr>
              <w:t>Регион</w:t>
            </w:r>
          </w:p>
        </w:tc>
        <w:tc>
          <w:tcPr>
            <w:tcW w:w="1080" w:type="dxa"/>
            <w:tcBorders>
              <w:bottom w:val="single" w:sz="8" w:space="0" w:color="000000"/>
            </w:tcBorders>
            <w:shd w:val="clear" w:color="auto" w:fill="auto"/>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2004</w:t>
            </w:r>
          </w:p>
        </w:tc>
        <w:tc>
          <w:tcPr>
            <w:tcW w:w="1080" w:type="dxa"/>
            <w:tcBorders>
              <w:bottom w:val="single" w:sz="8" w:space="0" w:color="000000"/>
            </w:tcBorders>
            <w:shd w:val="clear" w:color="auto" w:fill="auto"/>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2005</w:t>
            </w:r>
          </w:p>
        </w:tc>
        <w:tc>
          <w:tcPr>
            <w:tcW w:w="1080" w:type="dxa"/>
            <w:tcBorders>
              <w:bottom w:val="single" w:sz="8" w:space="0" w:color="000000"/>
            </w:tcBorders>
            <w:shd w:val="clear" w:color="auto" w:fill="auto"/>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2006</w:t>
            </w:r>
          </w:p>
        </w:tc>
        <w:tc>
          <w:tcPr>
            <w:tcW w:w="1080" w:type="dxa"/>
            <w:tcBorders>
              <w:bottom w:val="single" w:sz="8" w:space="0" w:color="000000"/>
            </w:tcBorders>
            <w:shd w:val="clear" w:color="auto" w:fill="auto"/>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2007</w:t>
            </w:r>
          </w:p>
        </w:tc>
        <w:tc>
          <w:tcPr>
            <w:tcW w:w="1080" w:type="dxa"/>
            <w:tcBorders>
              <w:bottom w:val="single" w:sz="8" w:space="0" w:color="000000"/>
            </w:tcBorders>
            <w:shd w:val="clear" w:color="auto" w:fill="auto"/>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2008</w:t>
            </w:r>
          </w:p>
        </w:tc>
        <w:tc>
          <w:tcPr>
            <w:tcW w:w="1080" w:type="dxa"/>
            <w:tcBorders>
              <w:bottom w:val="single" w:sz="8" w:space="0" w:color="000000"/>
            </w:tcBorders>
            <w:shd w:val="clear" w:color="auto" w:fill="auto"/>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Среднее</w:t>
            </w:r>
          </w:p>
        </w:tc>
      </w:tr>
      <w:tr w:rsidR="004C266D" w:rsidRPr="00F45AB9" w:rsidTr="0053139F">
        <w:trPr>
          <w:trHeight w:val="315"/>
        </w:trPr>
        <w:tc>
          <w:tcPr>
            <w:tcW w:w="0" w:type="auto"/>
            <w:tcBorders>
              <w:bottom w:val="single" w:sz="8" w:space="0" w:color="000000"/>
            </w:tcBorders>
            <w:shd w:val="clear" w:color="auto" w:fill="548DD4" w:themeFill="text2" w:themeFillTint="99"/>
            <w:noWrap/>
            <w:tcMar>
              <w:top w:w="15" w:type="dxa"/>
              <w:left w:w="15" w:type="dxa"/>
              <w:bottom w:w="0" w:type="dxa"/>
              <w:right w:w="15" w:type="dxa"/>
            </w:tcMar>
            <w:vAlign w:val="bottom"/>
            <w:hideMark/>
          </w:tcPr>
          <w:p w:rsidR="004C266D" w:rsidRPr="00F45AB9" w:rsidRDefault="004C266D" w:rsidP="0053139F">
            <w:pPr>
              <w:spacing w:after="0" w:line="240" w:lineRule="auto"/>
              <w:rPr>
                <w:color w:val="000000"/>
              </w:rPr>
            </w:pPr>
            <w:r w:rsidRPr="00F45AB9">
              <w:rPr>
                <w:color w:val="000000"/>
                <w:sz w:val="22"/>
              </w:rPr>
              <w:t>Город Ташкент</w:t>
            </w:r>
          </w:p>
        </w:tc>
        <w:tc>
          <w:tcPr>
            <w:tcW w:w="0" w:type="auto"/>
            <w:tcBorders>
              <w:bottom w:val="single" w:sz="8" w:space="0" w:color="000000"/>
            </w:tcBorders>
            <w:shd w:val="clear" w:color="auto" w:fill="548DD4" w:themeFill="text2"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0,7682</w:t>
            </w:r>
          </w:p>
        </w:tc>
        <w:tc>
          <w:tcPr>
            <w:tcW w:w="0" w:type="auto"/>
            <w:tcBorders>
              <w:bottom w:val="single" w:sz="8" w:space="0" w:color="000000"/>
            </w:tcBorders>
            <w:shd w:val="clear" w:color="auto" w:fill="548DD4" w:themeFill="text2"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0,7561</w:t>
            </w:r>
          </w:p>
        </w:tc>
        <w:tc>
          <w:tcPr>
            <w:tcW w:w="0" w:type="auto"/>
            <w:tcBorders>
              <w:bottom w:val="single" w:sz="8" w:space="0" w:color="000000"/>
            </w:tcBorders>
            <w:shd w:val="clear" w:color="auto" w:fill="548DD4" w:themeFill="text2"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0,7652</w:t>
            </w:r>
          </w:p>
        </w:tc>
        <w:tc>
          <w:tcPr>
            <w:tcW w:w="0" w:type="auto"/>
            <w:tcBorders>
              <w:bottom w:val="single" w:sz="8" w:space="0" w:color="000000"/>
            </w:tcBorders>
            <w:shd w:val="clear" w:color="auto" w:fill="548DD4" w:themeFill="text2"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0,7515</w:t>
            </w:r>
          </w:p>
        </w:tc>
        <w:tc>
          <w:tcPr>
            <w:tcW w:w="0" w:type="auto"/>
            <w:tcBorders>
              <w:bottom w:val="single" w:sz="8" w:space="0" w:color="000000"/>
            </w:tcBorders>
            <w:shd w:val="clear" w:color="auto" w:fill="548DD4" w:themeFill="text2"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0,7000</w:t>
            </w:r>
          </w:p>
        </w:tc>
        <w:tc>
          <w:tcPr>
            <w:tcW w:w="0" w:type="auto"/>
            <w:tcBorders>
              <w:bottom w:val="single" w:sz="8" w:space="0" w:color="000000"/>
            </w:tcBorders>
            <w:shd w:val="clear" w:color="auto" w:fill="548DD4" w:themeFill="text2"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0,7482</w:t>
            </w:r>
          </w:p>
        </w:tc>
      </w:tr>
      <w:tr w:rsidR="004C266D" w:rsidRPr="00F45AB9" w:rsidTr="0053139F">
        <w:trPr>
          <w:trHeight w:val="315"/>
        </w:trPr>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rPr>
                <w:color w:val="000000"/>
              </w:rPr>
            </w:pPr>
            <w:r w:rsidRPr="00F45AB9">
              <w:rPr>
                <w:color w:val="000000"/>
                <w:sz w:val="22"/>
              </w:rPr>
              <w:t>Навоийская область</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0,3848</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0,4000</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0,3909</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0,3652</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0,3258</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0,3733</w:t>
            </w:r>
          </w:p>
        </w:tc>
      </w:tr>
      <w:tr w:rsidR="004C266D" w:rsidRPr="00F45AB9" w:rsidTr="0053139F">
        <w:trPr>
          <w:trHeight w:val="315"/>
        </w:trPr>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rPr>
                <w:color w:val="000000"/>
              </w:rPr>
            </w:pPr>
            <w:r w:rsidRPr="00F45AB9">
              <w:rPr>
                <w:color w:val="000000"/>
                <w:sz w:val="22"/>
              </w:rPr>
              <w:t>Ферганская область</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0,3833</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0,3758</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0,3545</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0,3364</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0,2955</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0,3491</w:t>
            </w:r>
          </w:p>
        </w:tc>
      </w:tr>
      <w:tr w:rsidR="004C266D" w:rsidRPr="00F45AB9" w:rsidTr="0053139F">
        <w:trPr>
          <w:trHeight w:val="315"/>
        </w:trPr>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rPr>
                <w:color w:val="000000"/>
              </w:rPr>
            </w:pPr>
            <w:r w:rsidRPr="00F45AB9">
              <w:rPr>
                <w:color w:val="000000"/>
                <w:sz w:val="22"/>
              </w:rPr>
              <w:t>Ташкентская область</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0,3152</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0,3152</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0,3227</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0,3212</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0,2833</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0,3115</w:t>
            </w:r>
          </w:p>
        </w:tc>
      </w:tr>
      <w:tr w:rsidR="004C266D" w:rsidRPr="00F45AB9" w:rsidTr="0053139F">
        <w:trPr>
          <w:trHeight w:val="315"/>
        </w:trPr>
        <w:tc>
          <w:tcPr>
            <w:tcW w:w="0" w:type="auto"/>
            <w:tcBorders>
              <w:bottom w:val="single" w:sz="8" w:space="0" w:color="000000"/>
            </w:tcBorders>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rPr>
                <w:color w:val="000000"/>
              </w:rPr>
            </w:pPr>
            <w:r w:rsidRPr="00F45AB9">
              <w:rPr>
                <w:color w:val="000000"/>
                <w:sz w:val="22"/>
              </w:rPr>
              <w:t>Наманганская область</w:t>
            </w:r>
          </w:p>
        </w:tc>
        <w:tc>
          <w:tcPr>
            <w:tcW w:w="0" w:type="auto"/>
            <w:tcBorders>
              <w:bottom w:val="single" w:sz="8" w:space="0" w:color="000000"/>
            </w:tcBorders>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0,3091</w:t>
            </w:r>
          </w:p>
        </w:tc>
        <w:tc>
          <w:tcPr>
            <w:tcW w:w="0" w:type="auto"/>
            <w:tcBorders>
              <w:bottom w:val="single" w:sz="8" w:space="0" w:color="000000"/>
            </w:tcBorders>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0,3182</w:t>
            </w:r>
          </w:p>
        </w:tc>
        <w:tc>
          <w:tcPr>
            <w:tcW w:w="0" w:type="auto"/>
            <w:tcBorders>
              <w:bottom w:val="single" w:sz="8" w:space="0" w:color="000000"/>
            </w:tcBorders>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0,3091</w:t>
            </w:r>
          </w:p>
        </w:tc>
        <w:tc>
          <w:tcPr>
            <w:tcW w:w="0" w:type="auto"/>
            <w:tcBorders>
              <w:bottom w:val="single" w:sz="8" w:space="0" w:color="000000"/>
            </w:tcBorders>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0,2970</w:t>
            </w:r>
          </w:p>
        </w:tc>
        <w:tc>
          <w:tcPr>
            <w:tcW w:w="0" w:type="auto"/>
            <w:tcBorders>
              <w:bottom w:val="single" w:sz="8" w:space="0" w:color="000000"/>
            </w:tcBorders>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0,2803</w:t>
            </w:r>
          </w:p>
        </w:tc>
        <w:tc>
          <w:tcPr>
            <w:tcW w:w="0" w:type="auto"/>
            <w:tcBorders>
              <w:bottom w:val="single" w:sz="8" w:space="0" w:color="000000"/>
            </w:tcBorders>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0,3027</w:t>
            </w:r>
          </w:p>
        </w:tc>
      </w:tr>
      <w:tr w:rsidR="004C266D" w:rsidRPr="00F45AB9" w:rsidTr="0053139F">
        <w:trPr>
          <w:trHeight w:val="315"/>
        </w:trPr>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rPr>
                <w:color w:val="000000"/>
              </w:rPr>
            </w:pPr>
            <w:r w:rsidRPr="00F45AB9">
              <w:rPr>
                <w:color w:val="000000"/>
                <w:sz w:val="22"/>
              </w:rPr>
              <w:t>Джизакская область</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0,3242</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0,2924</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0,2803</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0,2727</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0,2788</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0,2897</w:t>
            </w:r>
          </w:p>
        </w:tc>
      </w:tr>
      <w:tr w:rsidR="004C266D" w:rsidRPr="00F45AB9" w:rsidTr="0053139F">
        <w:trPr>
          <w:trHeight w:val="315"/>
        </w:trPr>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rPr>
                <w:color w:val="000000"/>
              </w:rPr>
            </w:pPr>
            <w:r w:rsidRPr="00F45AB9">
              <w:rPr>
                <w:color w:val="000000"/>
                <w:sz w:val="22"/>
              </w:rPr>
              <w:t>Сырдарьинская область</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0,2894</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0,3121</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0,2955</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0,2788</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0,2682</w:t>
            </w:r>
          </w:p>
        </w:tc>
        <w:tc>
          <w:tcPr>
            <w:tcW w:w="0" w:type="auto"/>
            <w:shd w:val="clear" w:color="auto" w:fill="92CDDC" w:themeFill="accent5"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0,2888</w:t>
            </w:r>
          </w:p>
        </w:tc>
      </w:tr>
      <w:tr w:rsidR="004C266D" w:rsidRPr="00F45AB9" w:rsidTr="0053139F">
        <w:trPr>
          <w:trHeight w:val="315"/>
        </w:trPr>
        <w:tc>
          <w:tcPr>
            <w:tcW w:w="0" w:type="auto"/>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rPr>
                <w:color w:val="000000"/>
              </w:rPr>
            </w:pPr>
            <w:r w:rsidRPr="00F45AB9">
              <w:rPr>
                <w:color w:val="000000"/>
                <w:sz w:val="22"/>
              </w:rPr>
              <w:t>Бухарская область</w:t>
            </w:r>
          </w:p>
        </w:tc>
        <w:tc>
          <w:tcPr>
            <w:tcW w:w="0" w:type="auto"/>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0,2848</w:t>
            </w:r>
          </w:p>
        </w:tc>
        <w:tc>
          <w:tcPr>
            <w:tcW w:w="0" w:type="auto"/>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0,2697</w:t>
            </w:r>
          </w:p>
        </w:tc>
        <w:tc>
          <w:tcPr>
            <w:tcW w:w="0" w:type="auto"/>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0,2636</w:t>
            </w:r>
          </w:p>
        </w:tc>
        <w:tc>
          <w:tcPr>
            <w:tcW w:w="0" w:type="auto"/>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0,2545</w:t>
            </w:r>
          </w:p>
        </w:tc>
        <w:tc>
          <w:tcPr>
            <w:tcW w:w="0" w:type="auto"/>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0,2303</w:t>
            </w:r>
          </w:p>
        </w:tc>
        <w:tc>
          <w:tcPr>
            <w:tcW w:w="0" w:type="auto"/>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0,2606</w:t>
            </w:r>
          </w:p>
        </w:tc>
      </w:tr>
      <w:tr w:rsidR="004C266D" w:rsidRPr="00F45AB9" w:rsidTr="0053139F">
        <w:trPr>
          <w:trHeight w:val="315"/>
        </w:trPr>
        <w:tc>
          <w:tcPr>
            <w:tcW w:w="0" w:type="auto"/>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rPr>
                <w:color w:val="000000"/>
              </w:rPr>
            </w:pPr>
            <w:r w:rsidRPr="00F45AB9">
              <w:rPr>
                <w:color w:val="000000"/>
                <w:sz w:val="22"/>
              </w:rPr>
              <w:t>Республика Каракалпакстан</w:t>
            </w:r>
          </w:p>
        </w:tc>
        <w:tc>
          <w:tcPr>
            <w:tcW w:w="0" w:type="auto"/>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0,2742</w:t>
            </w:r>
          </w:p>
        </w:tc>
        <w:tc>
          <w:tcPr>
            <w:tcW w:w="0" w:type="auto"/>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0,2561</w:t>
            </w:r>
          </w:p>
        </w:tc>
        <w:tc>
          <w:tcPr>
            <w:tcW w:w="0" w:type="auto"/>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0,2576</w:t>
            </w:r>
          </w:p>
        </w:tc>
        <w:tc>
          <w:tcPr>
            <w:tcW w:w="0" w:type="auto"/>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0,2576</w:t>
            </w:r>
          </w:p>
        </w:tc>
        <w:tc>
          <w:tcPr>
            <w:tcW w:w="0" w:type="auto"/>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0,2545</w:t>
            </w:r>
          </w:p>
        </w:tc>
        <w:tc>
          <w:tcPr>
            <w:tcW w:w="0" w:type="auto"/>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0,2600</w:t>
            </w:r>
          </w:p>
        </w:tc>
      </w:tr>
      <w:tr w:rsidR="004C266D" w:rsidRPr="00F45AB9" w:rsidTr="0053139F">
        <w:trPr>
          <w:trHeight w:val="315"/>
        </w:trPr>
        <w:tc>
          <w:tcPr>
            <w:tcW w:w="0" w:type="auto"/>
            <w:tcBorders>
              <w:bottom w:val="single" w:sz="8" w:space="0" w:color="000000"/>
            </w:tcBorders>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rPr>
                <w:color w:val="000000"/>
              </w:rPr>
            </w:pPr>
            <w:r w:rsidRPr="00F45AB9">
              <w:rPr>
                <w:color w:val="000000"/>
                <w:sz w:val="22"/>
              </w:rPr>
              <w:t>Андижанская область</w:t>
            </w:r>
          </w:p>
        </w:tc>
        <w:tc>
          <w:tcPr>
            <w:tcW w:w="0" w:type="auto"/>
            <w:tcBorders>
              <w:bottom w:val="single" w:sz="8" w:space="0" w:color="000000"/>
            </w:tcBorders>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0,2712</w:t>
            </w:r>
          </w:p>
        </w:tc>
        <w:tc>
          <w:tcPr>
            <w:tcW w:w="0" w:type="auto"/>
            <w:tcBorders>
              <w:bottom w:val="single" w:sz="8" w:space="0" w:color="000000"/>
            </w:tcBorders>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0,2712</w:t>
            </w:r>
          </w:p>
        </w:tc>
        <w:tc>
          <w:tcPr>
            <w:tcW w:w="0" w:type="auto"/>
            <w:tcBorders>
              <w:bottom w:val="single" w:sz="8" w:space="0" w:color="000000"/>
            </w:tcBorders>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0,2758</w:t>
            </w:r>
          </w:p>
        </w:tc>
        <w:tc>
          <w:tcPr>
            <w:tcW w:w="0" w:type="auto"/>
            <w:tcBorders>
              <w:bottom w:val="single" w:sz="8" w:space="0" w:color="000000"/>
            </w:tcBorders>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0,2576</w:t>
            </w:r>
          </w:p>
        </w:tc>
        <w:tc>
          <w:tcPr>
            <w:tcW w:w="0" w:type="auto"/>
            <w:tcBorders>
              <w:bottom w:val="single" w:sz="8" w:space="0" w:color="000000"/>
            </w:tcBorders>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0,2227</w:t>
            </w:r>
          </w:p>
        </w:tc>
        <w:tc>
          <w:tcPr>
            <w:tcW w:w="0" w:type="auto"/>
            <w:tcBorders>
              <w:bottom w:val="single" w:sz="8" w:space="0" w:color="000000"/>
            </w:tcBorders>
            <w:shd w:val="clear" w:color="auto" w:fill="E36C0A" w:themeFill="accent6" w:themeFillShade="BF"/>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0,2597</w:t>
            </w:r>
          </w:p>
        </w:tc>
      </w:tr>
      <w:tr w:rsidR="004C266D" w:rsidRPr="00F45AB9" w:rsidTr="0053139F">
        <w:trPr>
          <w:trHeight w:val="315"/>
        </w:trPr>
        <w:tc>
          <w:tcPr>
            <w:tcW w:w="0" w:type="auto"/>
            <w:tcBorders>
              <w:bottom w:val="single" w:sz="8" w:space="0" w:color="000000"/>
            </w:tcBorders>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rPr>
                <w:color w:val="000000"/>
              </w:rPr>
            </w:pPr>
            <w:r w:rsidRPr="00F45AB9">
              <w:rPr>
                <w:color w:val="000000"/>
                <w:sz w:val="22"/>
              </w:rPr>
              <w:t>Хорезмская область</w:t>
            </w:r>
          </w:p>
        </w:tc>
        <w:tc>
          <w:tcPr>
            <w:tcW w:w="0" w:type="auto"/>
            <w:tcBorders>
              <w:bottom w:val="single" w:sz="8" w:space="0" w:color="000000"/>
            </w:tcBorders>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0,2348</w:t>
            </w:r>
          </w:p>
        </w:tc>
        <w:tc>
          <w:tcPr>
            <w:tcW w:w="0" w:type="auto"/>
            <w:tcBorders>
              <w:bottom w:val="single" w:sz="8" w:space="0" w:color="000000"/>
            </w:tcBorders>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0,2182</w:t>
            </w:r>
          </w:p>
        </w:tc>
        <w:tc>
          <w:tcPr>
            <w:tcW w:w="0" w:type="auto"/>
            <w:tcBorders>
              <w:bottom w:val="single" w:sz="8" w:space="0" w:color="000000"/>
            </w:tcBorders>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0,2167</w:t>
            </w:r>
          </w:p>
        </w:tc>
        <w:tc>
          <w:tcPr>
            <w:tcW w:w="0" w:type="auto"/>
            <w:tcBorders>
              <w:bottom w:val="single" w:sz="8" w:space="0" w:color="000000"/>
            </w:tcBorders>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0,2030</w:t>
            </w:r>
          </w:p>
        </w:tc>
        <w:tc>
          <w:tcPr>
            <w:tcW w:w="0" w:type="auto"/>
            <w:tcBorders>
              <w:bottom w:val="single" w:sz="8" w:space="0" w:color="000000"/>
            </w:tcBorders>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0,1848</w:t>
            </w:r>
          </w:p>
        </w:tc>
        <w:tc>
          <w:tcPr>
            <w:tcW w:w="0" w:type="auto"/>
            <w:tcBorders>
              <w:bottom w:val="single" w:sz="8" w:space="0" w:color="000000"/>
            </w:tcBorders>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0,2115</w:t>
            </w:r>
          </w:p>
        </w:tc>
      </w:tr>
      <w:tr w:rsidR="004C266D" w:rsidRPr="00F45AB9" w:rsidTr="0053139F">
        <w:trPr>
          <w:trHeight w:val="315"/>
        </w:trPr>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rPr>
                <w:color w:val="000000"/>
              </w:rPr>
            </w:pPr>
            <w:r w:rsidRPr="00F45AB9">
              <w:rPr>
                <w:color w:val="000000"/>
                <w:sz w:val="22"/>
              </w:rPr>
              <w:t>Самаркандская область</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0,1894</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0,1848</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0,1803</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0,1833</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0,1758</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0,1827</w:t>
            </w:r>
          </w:p>
        </w:tc>
      </w:tr>
      <w:tr w:rsidR="004C266D" w:rsidRPr="00F45AB9" w:rsidTr="0053139F">
        <w:trPr>
          <w:trHeight w:val="315"/>
        </w:trPr>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rPr>
                <w:color w:val="000000"/>
              </w:rPr>
            </w:pPr>
            <w:r w:rsidRPr="00F45AB9">
              <w:rPr>
                <w:color w:val="000000"/>
                <w:sz w:val="22"/>
              </w:rPr>
              <w:t>Сурхандарьинская область</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0,1697</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0,1712</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0,1636</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0,1606</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0,1515</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0,1633</w:t>
            </w:r>
          </w:p>
        </w:tc>
      </w:tr>
      <w:tr w:rsidR="004C266D" w:rsidRPr="00F45AB9" w:rsidTr="0053139F">
        <w:trPr>
          <w:trHeight w:val="315"/>
        </w:trPr>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rPr>
                <w:color w:val="000000"/>
              </w:rPr>
            </w:pPr>
            <w:r w:rsidRPr="00F45AB9">
              <w:rPr>
                <w:color w:val="000000"/>
                <w:sz w:val="22"/>
              </w:rPr>
              <w:t>Кашкадарьинская область</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0,1515</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0,1455</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0,1500</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0,1455</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color w:val="000000"/>
              </w:rPr>
            </w:pPr>
            <w:r w:rsidRPr="00F45AB9">
              <w:rPr>
                <w:color w:val="000000"/>
                <w:sz w:val="22"/>
              </w:rPr>
              <w:t>0,1409</w:t>
            </w:r>
          </w:p>
        </w:tc>
        <w:tc>
          <w:tcPr>
            <w:tcW w:w="0" w:type="auto"/>
            <w:shd w:val="clear" w:color="auto" w:fill="FABF8F" w:themeFill="accent6" w:themeFillTint="99"/>
            <w:noWrap/>
            <w:tcMar>
              <w:top w:w="15" w:type="dxa"/>
              <w:left w:w="15" w:type="dxa"/>
              <w:bottom w:w="0" w:type="dxa"/>
              <w:right w:w="15" w:type="dxa"/>
            </w:tcMar>
            <w:vAlign w:val="bottom"/>
            <w:hideMark/>
          </w:tcPr>
          <w:p w:rsidR="004C266D" w:rsidRPr="00F45AB9" w:rsidRDefault="004C266D" w:rsidP="0053139F">
            <w:pPr>
              <w:spacing w:after="0" w:line="240" w:lineRule="auto"/>
              <w:jc w:val="center"/>
              <w:rPr>
                <w:b/>
                <w:color w:val="000000"/>
              </w:rPr>
            </w:pPr>
            <w:r w:rsidRPr="00F45AB9">
              <w:rPr>
                <w:b/>
                <w:color w:val="000000"/>
                <w:sz w:val="22"/>
              </w:rPr>
              <w:t>0,1467</w:t>
            </w:r>
          </w:p>
        </w:tc>
      </w:tr>
    </w:tbl>
    <w:p w:rsidR="004C266D" w:rsidRPr="00F45AB9" w:rsidRDefault="004C266D" w:rsidP="004C266D">
      <w:pPr>
        <w:spacing w:before="120" w:after="0" w:line="240" w:lineRule="auto"/>
        <w:jc w:val="both"/>
        <w:rPr>
          <w:sz w:val="22"/>
        </w:rPr>
      </w:pPr>
      <w:r w:rsidRPr="00F45AB9">
        <w:rPr>
          <w:sz w:val="22"/>
        </w:rPr>
        <w:t>По числу преподавателей с высшим образованием в средних специальных/ профессиональных учебных заведениях лидерство в 2007/2008 учебном году принадлежит Сурхандарьинской (95,9%), Хорезмской (95,7%) и Бухарской (94,3%), областям. Город Ташкент делит по этому показателю 2-4 место с республикой Каракалпакстан, немного опережая Ферганскую область. Самый низкий уровень этого показателя (в Андижанской области) составляет 71,7%.</w:t>
      </w:r>
    </w:p>
    <w:p w:rsidR="004C266D" w:rsidRPr="00F45AB9" w:rsidRDefault="004C266D" w:rsidP="004C266D">
      <w:pPr>
        <w:spacing w:before="120" w:after="0" w:line="240" w:lineRule="auto"/>
        <w:jc w:val="both"/>
        <w:rPr>
          <w:sz w:val="22"/>
        </w:rPr>
      </w:pPr>
      <w:r w:rsidRPr="00F45AB9">
        <w:rPr>
          <w:sz w:val="22"/>
        </w:rPr>
        <w:t>Наибольшее число преподавателей вузов, имеющих ученую степень, в Самаркандской области – 45,5%. но их доля постепенно снижается (в 2004 году она составляла 54%). И</w:t>
      </w:r>
      <w:r w:rsidR="00751806">
        <w:rPr>
          <w:sz w:val="22"/>
        </w:rPr>
        <w:t>,</w:t>
      </w:r>
      <w:r w:rsidRPr="00F45AB9">
        <w:rPr>
          <w:sz w:val="22"/>
        </w:rPr>
        <w:t xml:space="preserve"> наоборот, в регионе с самым низким значением удельного веса преподавателей, имеющих ученые степени, Навоийской области, значение показателя постепенно растет. Если в 200405учебном году таких преподавателей в вузах области было лишь 19,6%, то в 2007/08 учебном году - уже 25,7%. В Андижанской, Бухарской и Кашкадарьинской областях удельный вес профессорско-преподавательского состава вузов, имеющего ученые степени, так же как и в Самаркандской области превышаетм40%, но в отличие от последней, в этих трех регионах показатель в последние годы растет.</w:t>
      </w:r>
    </w:p>
    <w:p w:rsidR="004C266D" w:rsidRPr="00F45AB9" w:rsidRDefault="004C266D" w:rsidP="004C266D">
      <w:pPr>
        <w:spacing w:before="120" w:after="0" w:line="240" w:lineRule="auto"/>
        <w:jc w:val="both"/>
        <w:rPr>
          <w:sz w:val="22"/>
        </w:rPr>
      </w:pPr>
      <w:r w:rsidRPr="00F45AB9">
        <w:rPr>
          <w:sz w:val="22"/>
        </w:rPr>
        <w:t>Насколько высок уровень образования населения регионов, насколько они имеют потенциал для привлечения новых технологий и производства новых знаний можно судить по доле населения старше 25 лет, имеющего высшее образование. Это важная характеристика трудовых ресурсов региона. По этому показателю Ташкент далеко опережает другие регионы. Причем в столице доля взрослого населения с высшим образованием продолжала расти на протяжении последних лет и составила в 2008 году 31,1%. Это означает, что почти треть взрослого населения города имеет диплом о высшем образовании. Быстрее всего этот показатель в 2004-2008 году рос в Кашкадарьинской - с 9,9 до 12,3% , Навоийской – с 10,9 до 12,9% и Самаркандской областях – с 11,3 до 14,7%. Снижение показателя зафиксировано в Сурхандарьинской, Сырдарьинской и Ферганской областях. В Сырдарьинской области доля взрослого населения с высшим образованием к 2008 году стала наименьшей по стране – 7,7%. Наиболее высокий уровень данного показателя, кроме Ташкента - в промышленно развитых регионах - Самаркандской, Кашкадарьинской и Навоийской областях. Причем в Ташкенте и Самаркандской области сосредоточено большинство вузов страны, что повышает степень доступа их жителей к высшему образованию.</w:t>
      </w:r>
    </w:p>
    <w:p w:rsidR="004C266D" w:rsidRPr="00F45AB9" w:rsidRDefault="004C266D" w:rsidP="004C266D">
      <w:pPr>
        <w:spacing w:before="120" w:after="0" w:line="240" w:lineRule="auto"/>
        <w:jc w:val="both"/>
        <w:rPr>
          <w:sz w:val="22"/>
        </w:rPr>
      </w:pPr>
      <w:r w:rsidRPr="00F45AB9">
        <w:rPr>
          <w:sz w:val="22"/>
        </w:rPr>
        <w:t xml:space="preserve">Охват детей дошкольного возраста детскими дошкольными учреждениями в регионах остается достаточно низким. Он не превышает в большинстве регионов 20% и имеет устойчивую </w:t>
      </w:r>
      <w:r w:rsidRPr="00F45AB9">
        <w:rPr>
          <w:sz w:val="22"/>
        </w:rPr>
        <w:lastRenderedPageBreak/>
        <w:t xml:space="preserve">тенденцию к снижению. В последние годы это уже не связано, как в 90-е годы, с массовым закрытием детских садов, их приватизацией коммерческими структурами и перепрофилированием на другие цели. Проблему представляют высокая плата за содержание детей в дошкольных учреждениях, низкая степень их оснащенности оборудованием, необходимым для физического и интеллектуального развития детей, плохие санитарные условия и низкий уровень медицинского обслуживания. Наибольшее число детей по состоянию на 2008 год охвачено ДДУ в Ташкенте – 46,2%, Навоийской – 21,5%, Ферганской – 19,5%, Ташкентской – 18,8% и Наманганской – 18,5% областях. За исключением Ташкента и Наманганской области все эти регионы входят в число неблагополучных по уровню заболеваемости бактериальной дизентерией. В Ташкенте ситуацию улучшают частные малокомплектные детские сады, но они доступны далеко не всем родителям. </w:t>
      </w:r>
    </w:p>
    <w:p w:rsidR="004C266D" w:rsidRPr="00F45AB9" w:rsidRDefault="004C266D" w:rsidP="004C266D">
      <w:pPr>
        <w:spacing w:before="120" w:after="0" w:line="240" w:lineRule="auto"/>
        <w:jc w:val="both"/>
        <w:rPr>
          <w:sz w:val="22"/>
        </w:rPr>
      </w:pPr>
      <w:r w:rsidRPr="00F45AB9">
        <w:rPr>
          <w:sz w:val="22"/>
        </w:rPr>
        <w:t>Детские дошкольные учреждения являются важным элементом подготовки к школе, стимулирования физического и интеллектуального и нравственного развития детей, раннего выявления их способностей. Поэтому тенденцию сокращения охвата детей ДДУ следует считать неблагоприятной. В Узбекистане она смягчается наличием больших семей, тем что часто воспитание детей берут на себя их бабушки и дедушки пенсионного возраста. Тем не менее профессиональный подход к развитию детей, а в ряде случаев и коррекция этого развития служат важным условием будущих успехов подрастающего поколения.</w:t>
      </w:r>
    </w:p>
    <w:p w:rsidR="004C266D" w:rsidRPr="00F45AB9" w:rsidRDefault="004C266D" w:rsidP="004C266D">
      <w:pPr>
        <w:spacing w:before="120" w:after="0" w:line="240" w:lineRule="auto"/>
        <w:jc w:val="both"/>
        <w:rPr>
          <w:sz w:val="22"/>
        </w:rPr>
      </w:pPr>
      <w:r w:rsidRPr="00F45AB9">
        <w:rPr>
          <w:sz w:val="22"/>
        </w:rPr>
        <w:t xml:space="preserve">В целом, значения образовательного индекса весьма различаются по регионам. Если лидерство с большим отрывом Ташкента не вызывает вопросов, то 12 место Самаркандской области (второго по значению центра высшего образования в стране) объясняется низкими показателями по другим ступеням образования: низкой долей учителей общеобразовательных школ, имеющих высшее образование, относительно невысоким уровнем этого показателя в средних специальных/ профессиональных учебных заведениях и слабым охватом детей дошкольными учреждениями. </w:t>
      </w:r>
    </w:p>
    <w:p w:rsidR="00EF2D60" w:rsidRPr="00F45AB9" w:rsidRDefault="00EF2D60" w:rsidP="00EF2D60">
      <w:pPr>
        <w:spacing w:before="120" w:after="0" w:line="240" w:lineRule="auto"/>
        <w:jc w:val="both"/>
        <w:rPr>
          <w:sz w:val="22"/>
        </w:rPr>
      </w:pPr>
      <w:r w:rsidRPr="00F45AB9">
        <w:rPr>
          <w:b/>
          <w:sz w:val="22"/>
        </w:rPr>
        <w:t>Индекс «социальных болезней»</w:t>
      </w:r>
      <w:r w:rsidRPr="00F45AB9">
        <w:rPr>
          <w:sz w:val="22"/>
        </w:rPr>
        <w:t>. Многие зарубежные исследователи при разработке индексов социально-экономического развития, особенно содержащих оценку качества жизни, стремятся включать в состав индекса показатели, отражающие «социальные болезни» общества. В основном к этой группе показателей относятся те, которые отражают социально неприемлемое поведение людей или их поступки, обычно осуждаемые обществом по моральным соображениям. К числу таких индикаторов относятся уровень преступности, самоубийств, распространенности наркомании и алкоголизма, число абортов и другие негативные показатели. К этой же группе относятся и показатели лишений, например, численность людей, живущих в нищете.</w:t>
      </w:r>
    </w:p>
    <w:p w:rsidR="005E3E8D" w:rsidRPr="00F45AB9" w:rsidRDefault="005E3E8D" w:rsidP="005E3E8D">
      <w:pPr>
        <w:spacing w:before="120" w:after="0" w:line="240" w:lineRule="auto"/>
        <w:jc w:val="both"/>
        <w:rPr>
          <w:sz w:val="22"/>
        </w:rPr>
      </w:pPr>
      <w:r w:rsidRPr="00F45AB9">
        <w:rPr>
          <w:sz w:val="22"/>
        </w:rPr>
        <w:t>В разработанный для настоящего доклада индекс было решено включить компонент «социальных болезней», состоящий из следующих показателей:</w:t>
      </w:r>
    </w:p>
    <w:p w:rsidR="005E3E8D" w:rsidRPr="00F45AB9" w:rsidRDefault="005E3E8D" w:rsidP="005E3E8D">
      <w:pPr>
        <w:numPr>
          <w:ilvl w:val="0"/>
          <w:numId w:val="2"/>
        </w:numPr>
        <w:spacing w:before="120" w:after="0" w:line="240" w:lineRule="auto"/>
        <w:ind w:left="0" w:firstLine="0"/>
        <w:jc w:val="both"/>
        <w:rPr>
          <w:sz w:val="22"/>
        </w:rPr>
      </w:pPr>
      <w:r w:rsidRPr="00F45AB9">
        <w:rPr>
          <w:sz w:val="22"/>
        </w:rPr>
        <w:t>доля населения, находящегося ниже  крайней черты бедности, в %;</w:t>
      </w:r>
    </w:p>
    <w:p w:rsidR="005E3E8D" w:rsidRPr="00F45AB9" w:rsidRDefault="005E3E8D" w:rsidP="005E3E8D">
      <w:pPr>
        <w:numPr>
          <w:ilvl w:val="0"/>
          <w:numId w:val="2"/>
        </w:numPr>
        <w:spacing w:before="120" w:after="0" w:line="240" w:lineRule="auto"/>
        <w:ind w:left="0" w:firstLine="0"/>
        <w:jc w:val="both"/>
        <w:rPr>
          <w:sz w:val="22"/>
        </w:rPr>
      </w:pPr>
      <w:r w:rsidRPr="00F45AB9">
        <w:rPr>
          <w:sz w:val="22"/>
        </w:rPr>
        <w:t>число зарегистрированных преступлений (на 1000 человек населения);</w:t>
      </w:r>
    </w:p>
    <w:p w:rsidR="005E3E8D" w:rsidRPr="00F45AB9" w:rsidRDefault="005E3E8D" w:rsidP="005E3E8D">
      <w:pPr>
        <w:numPr>
          <w:ilvl w:val="0"/>
          <w:numId w:val="2"/>
        </w:numPr>
        <w:spacing w:before="120" w:after="0" w:line="240" w:lineRule="auto"/>
        <w:ind w:left="0" w:firstLine="0"/>
        <w:jc w:val="both"/>
        <w:rPr>
          <w:sz w:val="22"/>
        </w:rPr>
      </w:pPr>
      <w:r w:rsidRPr="00F45AB9">
        <w:rPr>
          <w:sz w:val="22"/>
        </w:rPr>
        <w:t>заболеваемость наркологическими расстройствами, включая алкоголизм, с впервые установленным диагнозом (на 100 тыс. населения);</w:t>
      </w:r>
    </w:p>
    <w:p w:rsidR="005E3E8D" w:rsidRPr="00F45AB9" w:rsidRDefault="005E3E8D" w:rsidP="005E3E8D">
      <w:pPr>
        <w:numPr>
          <w:ilvl w:val="0"/>
          <w:numId w:val="2"/>
        </w:numPr>
        <w:spacing w:before="120" w:after="0" w:line="240" w:lineRule="auto"/>
        <w:ind w:left="0" w:firstLine="0"/>
        <w:jc w:val="both"/>
        <w:rPr>
          <w:sz w:val="22"/>
        </w:rPr>
      </w:pPr>
      <w:r>
        <w:rPr>
          <w:sz w:val="22"/>
        </w:rPr>
        <w:t>ч</w:t>
      </w:r>
      <w:r w:rsidRPr="00F45AB9">
        <w:rPr>
          <w:sz w:val="22"/>
        </w:rPr>
        <w:t>исло лиц, пострадавших от травм и отравлений (на 100 тыс. населения).</w:t>
      </w:r>
    </w:p>
    <w:p w:rsidR="00EF2D60" w:rsidRPr="00F45AB9" w:rsidRDefault="00EF2D60" w:rsidP="00EF2D60">
      <w:pPr>
        <w:spacing w:before="120" w:after="0" w:line="240" w:lineRule="auto"/>
        <w:jc w:val="both"/>
        <w:rPr>
          <w:sz w:val="22"/>
        </w:rPr>
      </w:pPr>
      <w:r w:rsidRPr="00F45AB9">
        <w:rPr>
          <w:sz w:val="22"/>
        </w:rPr>
        <w:t xml:space="preserve">Индекс «социальных болезней» представлен в </w:t>
      </w:r>
      <w:r w:rsidRPr="00F45AB9">
        <w:rPr>
          <w:sz w:val="22"/>
          <w:highlight w:val="yellow"/>
        </w:rPr>
        <w:t xml:space="preserve">Таблице </w:t>
      </w:r>
      <w:r w:rsidR="00735641" w:rsidRPr="00F45AB9">
        <w:rPr>
          <w:sz w:val="22"/>
          <w:highlight w:val="yellow"/>
        </w:rPr>
        <w:t>6</w:t>
      </w:r>
      <w:r w:rsidRPr="00F45AB9">
        <w:rPr>
          <w:sz w:val="22"/>
        </w:rPr>
        <w:t xml:space="preserve">. Это единственный индекс, где Ташкент «безоговорочно» оказался на последнем месте рейтинга. </w:t>
      </w:r>
    </w:p>
    <w:p w:rsidR="00EF2D60" w:rsidRPr="00F45AB9" w:rsidRDefault="00EF2D60" w:rsidP="00EF2D60">
      <w:pPr>
        <w:spacing w:before="120" w:after="0" w:line="240" w:lineRule="auto"/>
        <w:jc w:val="both"/>
        <w:rPr>
          <w:sz w:val="22"/>
        </w:rPr>
      </w:pPr>
      <w:r w:rsidRPr="00F45AB9">
        <w:rPr>
          <w:sz w:val="22"/>
        </w:rPr>
        <w:t>И это несмотря на то, что показатель доли населения, находящегося ниже крайней черты бедности в Ташкенте был самым низким, в 2007 году его значение составило 2,2%. Низким значение этого показателя было также в Ферганской и Ташкентской областях. Причем тенденция к снижению доли крайне бедных прослеживалась в этих регионах на протяжении всего периода, начиная с 2004 года. Наиболее высоким уровень крайней бедности продолжал оставаться в Каракалпакстане, где</w:t>
      </w:r>
      <w:r w:rsidR="00F01F8F">
        <w:rPr>
          <w:sz w:val="22"/>
        </w:rPr>
        <w:t>,</w:t>
      </w:r>
      <w:r w:rsidRPr="00F45AB9">
        <w:rPr>
          <w:sz w:val="22"/>
        </w:rPr>
        <w:t xml:space="preserve"> несмотря на некоторое снижение</w:t>
      </w:r>
      <w:r w:rsidR="00F01F8F">
        <w:rPr>
          <w:sz w:val="22"/>
        </w:rPr>
        <w:t>,</w:t>
      </w:r>
      <w:r w:rsidRPr="00F45AB9">
        <w:rPr>
          <w:sz w:val="22"/>
        </w:rPr>
        <w:t xml:space="preserve"> он составил в 2007 году 23,9%. Также высоким уровень крайней бедности был в Джизакской, Кашкадарьинской, Наманганской, Сурхандарьинской и Сырдарьинской областях, составляя в течение рассматриваемого периода от 8 до 13% населения.</w:t>
      </w:r>
    </w:p>
    <w:p w:rsidR="00EF2D60" w:rsidRPr="00F45AB9" w:rsidRDefault="00EF2D60" w:rsidP="00EF2D60">
      <w:pPr>
        <w:spacing w:before="120" w:after="0" w:line="240" w:lineRule="auto"/>
        <w:jc w:val="both"/>
        <w:rPr>
          <w:sz w:val="22"/>
        </w:rPr>
      </w:pPr>
      <w:r w:rsidRPr="00F45AB9">
        <w:rPr>
          <w:sz w:val="22"/>
        </w:rPr>
        <w:t>Меньше всего преступлений регистрировалось в Сурхандарьинской области: 1,</w:t>
      </w:r>
      <w:r w:rsidR="00F01F8F">
        <w:rPr>
          <w:sz w:val="22"/>
        </w:rPr>
        <w:t>6</w:t>
      </w:r>
      <w:r w:rsidRPr="00F45AB9">
        <w:rPr>
          <w:sz w:val="22"/>
        </w:rPr>
        <w:t>-1,</w:t>
      </w:r>
      <w:r w:rsidR="00F01F8F">
        <w:rPr>
          <w:sz w:val="22"/>
        </w:rPr>
        <w:t>7</w:t>
      </w:r>
      <w:r w:rsidRPr="00F45AB9">
        <w:rPr>
          <w:sz w:val="22"/>
        </w:rPr>
        <w:t xml:space="preserve"> на 1000 человек населения. В пределы 1,9-2,2 преступных посягательства на 1000 населения укладывались Андижанская, Кашкадарьинская, Наманганская области, Республика Каракалпакстан. Для сравнения: в Навоийской области этот показатель находился на уровне 3,6-4,1, а в г. Ташкенте на </w:t>
      </w:r>
      <w:r w:rsidRPr="00F45AB9">
        <w:rPr>
          <w:sz w:val="22"/>
        </w:rPr>
        <w:lastRenderedPageBreak/>
        <w:t xml:space="preserve">уровне 8,2-9,3 преступления на 1000 человек населения. В этой связи следует сказать, что Ташкент, как и любой мегаполис, концентрируя в себе большое количество людей и ресурсов открывает широкое поле для любой деятельности, в том числе и противозаконной. Это характерно для всех крупных городов мира и Ташкент – </w:t>
      </w:r>
      <w:r w:rsidR="00F01F8F">
        <w:rPr>
          <w:sz w:val="22"/>
        </w:rPr>
        <w:t xml:space="preserve">далеко </w:t>
      </w:r>
      <w:r w:rsidRPr="00F45AB9">
        <w:rPr>
          <w:sz w:val="22"/>
        </w:rPr>
        <w:t>не самый худший из них по уровню безопасности. К тому же люди переезжая из регионов в Ташкент и увеличивая для себя риск стать жертвой преступления, исключают для себя другие риски и неудобства, связанные с жизнью в провинции и особенно в сельской местности: низкооплачиваемая работа, недостаток качественной медицинской помощи и образовательных услуг, отсутствие реального доступа к коммунальным услугам и другие. Однако, миграция в крупный город становится источником проблем для этого города. Он не может обеспечить сразу и всех высокооплачиваемой работой, социальной инфраструктурой, комфортным жильем, а это в свою очередь может подпитывать преступность.</w:t>
      </w:r>
    </w:p>
    <w:p w:rsidR="005E3E8D" w:rsidRPr="00F45AB9" w:rsidRDefault="005E3E8D" w:rsidP="005E3E8D">
      <w:pPr>
        <w:spacing w:before="120" w:after="0" w:line="240" w:lineRule="auto"/>
        <w:jc w:val="both"/>
        <w:rPr>
          <w:b/>
          <w:sz w:val="22"/>
        </w:rPr>
      </w:pPr>
      <w:r w:rsidRPr="00F45AB9">
        <w:rPr>
          <w:b/>
          <w:sz w:val="22"/>
        </w:rPr>
        <w:t>Таблица 6. Компонент «социальные болезни» СИЧР.</w:t>
      </w:r>
    </w:p>
    <w:tbl>
      <w:tblPr>
        <w:tblW w:w="99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4A0"/>
      </w:tblPr>
      <w:tblGrid>
        <w:gridCol w:w="2980"/>
        <w:gridCol w:w="1380"/>
        <w:gridCol w:w="1120"/>
        <w:gridCol w:w="1120"/>
        <w:gridCol w:w="1120"/>
        <w:gridCol w:w="1120"/>
        <w:gridCol w:w="1120"/>
      </w:tblGrid>
      <w:tr w:rsidR="005E3E8D" w:rsidRPr="00F45AB9" w:rsidTr="009C2421">
        <w:trPr>
          <w:trHeight w:val="315"/>
        </w:trPr>
        <w:tc>
          <w:tcPr>
            <w:tcW w:w="2980" w:type="dxa"/>
            <w:tcBorders>
              <w:bottom w:val="single" w:sz="6" w:space="0" w:color="000000"/>
            </w:tcBorders>
            <w:shd w:val="clear" w:color="auto" w:fill="auto"/>
            <w:noWrap/>
            <w:tcMar>
              <w:top w:w="15" w:type="dxa"/>
              <w:left w:w="15" w:type="dxa"/>
              <w:bottom w:w="0" w:type="dxa"/>
              <w:right w:w="15" w:type="dxa"/>
            </w:tcMar>
            <w:vAlign w:val="bottom"/>
            <w:hideMark/>
          </w:tcPr>
          <w:p w:rsidR="005E3E8D" w:rsidRPr="00F45AB9" w:rsidRDefault="005E3E8D" w:rsidP="009C2421">
            <w:pPr>
              <w:spacing w:after="0" w:line="240" w:lineRule="auto"/>
              <w:rPr>
                <w:b/>
                <w:color w:val="000000"/>
              </w:rPr>
            </w:pPr>
            <w:r w:rsidRPr="00F45AB9">
              <w:rPr>
                <w:b/>
                <w:color w:val="000000"/>
                <w:sz w:val="22"/>
              </w:rPr>
              <w:t>Регион</w:t>
            </w:r>
          </w:p>
        </w:tc>
        <w:tc>
          <w:tcPr>
            <w:tcW w:w="1380" w:type="dxa"/>
            <w:tcBorders>
              <w:bottom w:val="single" w:sz="6" w:space="0" w:color="000000"/>
            </w:tcBorders>
            <w:shd w:val="clear" w:color="auto" w:fill="auto"/>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2004</w:t>
            </w:r>
          </w:p>
        </w:tc>
        <w:tc>
          <w:tcPr>
            <w:tcW w:w="1120" w:type="dxa"/>
            <w:tcBorders>
              <w:bottom w:val="single" w:sz="6" w:space="0" w:color="000000"/>
            </w:tcBorders>
            <w:shd w:val="clear" w:color="auto" w:fill="auto"/>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2005</w:t>
            </w:r>
          </w:p>
        </w:tc>
        <w:tc>
          <w:tcPr>
            <w:tcW w:w="1120" w:type="dxa"/>
            <w:tcBorders>
              <w:bottom w:val="single" w:sz="6" w:space="0" w:color="000000"/>
            </w:tcBorders>
            <w:shd w:val="clear" w:color="auto" w:fill="auto"/>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2006</w:t>
            </w:r>
          </w:p>
        </w:tc>
        <w:tc>
          <w:tcPr>
            <w:tcW w:w="1120" w:type="dxa"/>
            <w:tcBorders>
              <w:bottom w:val="single" w:sz="6" w:space="0" w:color="000000"/>
            </w:tcBorders>
            <w:shd w:val="clear" w:color="auto" w:fill="auto"/>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2007</w:t>
            </w:r>
          </w:p>
        </w:tc>
        <w:tc>
          <w:tcPr>
            <w:tcW w:w="1120" w:type="dxa"/>
            <w:tcBorders>
              <w:bottom w:val="single" w:sz="6" w:space="0" w:color="000000"/>
            </w:tcBorders>
            <w:shd w:val="clear" w:color="auto" w:fill="auto"/>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2008</w:t>
            </w:r>
          </w:p>
        </w:tc>
        <w:tc>
          <w:tcPr>
            <w:tcW w:w="1120" w:type="dxa"/>
            <w:tcBorders>
              <w:bottom w:val="single" w:sz="6" w:space="0" w:color="000000"/>
            </w:tcBorders>
            <w:shd w:val="clear" w:color="auto" w:fill="auto"/>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Среднее</w:t>
            </w:r>
          </w:p>
        </w:tc>
      </w:tr>
      <w:tr w:rsidR="005E3E8D" w:rsidRPr="00F45AB9" w:rsidTr="009C2421">
        <w:trPr>
          <w:trHeight w:val="315"/>
        </w:trPr>
        <w:tc>
          <w:tcPr>
            <w:tcW w:w="2980" w:type="dxa"/>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rPr>
                <w:color w:val="000000"/>
              </w:rPr>
            </w:pPr>
            <w:r w:rsidRPr="00F45AB9">
              <w:rPr>
                <w:color w:val="000000"/>
                <w:sz w:val="22"/>
              </w:rPr>
              <w:t>Андижанская область</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0,7952</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0,7926</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0,7758</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0,7762</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0,7689</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0,7817</w:t>
            </w:r>
          </w:p>
        </w:tc>
      </w:tr>
      <w:tr w:rsidR="005E3E8D" w:rsidRPr="00F45AB9" w:rsidTr="009C2421">
        <w:trPr>
          <w:trHeight w:val="315"/>
        </w:trPr>
        <w:tc>
          <w:tcPr>
            <w:tcW w:w="2980" w:type="dxa"/>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rPr>
                <w:color w:val="000000"/>
              </w:rPr>
            </w:pPr>
            <w:r w:rsidRPr="00F45AB9">
              <w:rPr>
                <w:color w:val="000000"/>
                <w:sz w:val="22"/>
              </w:rPr>
              <w:t>Бухарская область</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0,7637</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0,7582</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0,7784</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0,7613</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0,7580</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0,7639</w:t>
            </w:r>
          </w:p>
        </w:tc>
      </w:tr>
      <w:tr w:rsidR="005E3E8D" w:rsidRPr="00F45AB9" w:rsidTr="009C2421">
        <w:trPr>
          <w:trHeight w:val="315"/>
        </w:trPr>
        <w:tc>
          <w:tcPr>
            <w:tcW w:w="2980" w:type="dxa"/>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rPr>
                <w:color w:val="000000"/>
              </w:rPr>
            </w:pPr>
            <w:r w:rsidRPr="00F45AB9">
              <w:rPr>
                <w:color w:val="000000"/>
                <w:sz w:val="22"/>
              </w:rPr>
              <w:t>Джизакская область</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0,7406</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0,7569</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0,7688</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0,7553</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0,7580</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0,7559</w:t>
            </w:r>
          </w:p>
        </w:tc>
      </w:tr>
      <w:tr w:rsidR="005E3E8D" w:rsidRPr="00F45AB9" w:rsidTr="009C2421">
        <w:trPr>
          <w:trHeight w:val="315"/>
        </w:trPr>
        <w:tc>
          <w:tcPr>
            <w:tcW w:w="2980" w:type="dxa"/>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rPr>
                <w:color w:val="000000"/>
              </w:rPr>
            </w:pPr>
            <w:r w:rsidRPr="00F45AB9">
              <w:rPr>
                <w:color w:val="000000"/>
                <w:sz w:val="22"/>
              </w:rPr>
              <w:t>Наманганская область</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0,6699</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0,7542</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0,7491</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0,7510</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0,7715</w:t>
            </w:r>
          </w:p>
        </w:tc>
        <w:tc>
          <w:tcPr>
            <w:tcW w:w="0" w:type="auto"/>
            <w:tcBorders>
              <w:top w:val="single" w:sz="6" w:space="0" w:color="000000"/>
              <w:bottom w:val="single" w:sz="6" w:space="0" w:color="000000"/>
            </w:tcBorders>
            <w:shd w:val="clear" w:color="auto" w:fill="95B3D7" w:themeFill="accent1" w:themeFillTint="99"/>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0,7391</w:t>
            </w:r>
          </w:p>
        </w:tc>
      </w:tr>
      <w:tr w:rsidR="005E3E8D" w:rsidRPr="00F45AB9" w:rsidTr="009C2421">
        <w:trPr>
          <w:trHeight w:val="315"/>
        </w:trPr>
        <w:tc>
          <w:tcPr>
            <w:tcW w:w="2980" w:type="dxa"/>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rPr>
                <w:color w:val="000000"/>
              </w:rPr>
            </w:pPr>
            <w:r w:rsidRPr="00F45AB9">
              <w:rPr>
                <w:color w:val="000000"/>
                <w:sz w:val="22"/>
              </w:rPr>
              <w:t>Кашкадарьинская область</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0,6970</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0,6966</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0,7098</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0,7237</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0,7413</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0,7137</w:t>
            </w:r>
          </w:p>
        </w:tc>
      </w:tr>
      <w:tr w:rsidR="005E3E8D" w:rsidRPr="00F45AB9" w:rsidTr="009C2421">
        <w:trPr>
          <w:trHeight w:val="315"/>
        </w:trPr>
        <w:tc>
          <w:tcPr>
            <w:tcW w:w="2980" w:type="dxa"/>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rPr>
                <w:color w:val="000000"/>
              </w:rPr>
            </w:pPr>
            <w:r w:rsidRPr="00F45AB9">
              <w:rPr>
                <w:color w:val="000000"/>
                <w:sz w:val="22"/>
              </w:rPr>
              <w:t>Ферганская область</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0,6924</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0,6987</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0,6555</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0,7251</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0,7110</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0,6965</w:t>
            </w:r>
          </w:p>
        </w:tc>
      </w:tr>
      <w:tr w:rsidR="005E3E8D" w:rsidRPr="00F45AB9" w:rsidTr="009C2421">
        <w:trPr>
          <w:trHeight w:val="315"/>
        </w:trPr>
        <w:tc>
          <w:tcPr>
            <w:tcW w:w="2980" w:type="dxa"/>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rPr>
                <w:color w:val="000000"/>
              </w:rPr>
            </w:pPr>
            <w:r w:rsidRPr="00F45AB9">
              <w:rPr>
                <w:color w:val="000000"/>
                <w:sz w:val="22"/>
              </w:rPr>
              <w:t>Сурхандарьинская область</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0,6690</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0,6725</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0,6740</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0,6965</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0,7111</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0,6846</w:t>
            </w:r>
          </w:p>
        </w:tc>
      </w:tr>
      <w:tr w:rsidR="005E3E8D" w:rsidRPr="00F45AB9" w:rsidTr="009C2421">
        <w:trPr>
          <w:trHeight w:val="315"/>
        </w:trPr>
        <w:tc>
          <w:tcPr>
            <w:tcW w:w="2980" w:type="dxa"/>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rPr>
                <w:color w:val="000000"/>
              </w:rPr>
            </w:pPr>
            <w:r w:rsidRPr="00F45AB9">
              <w:rPr>
                <w:color w:val="000000"/>
                <w:sz w:val="22"/>
              </w:rPr>
              <w:t>Самаркандская область</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0,6666</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0,6885</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0,6643</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0,6679</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0,6780</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0,6730</w:t>
            </w:r>
          </w:p>
        </w:tc>
      </w:tr>
      <w:tr w:rsidR="005E3E8D" w:rsidRPr="00F45AB9" w:rsidTr="009C2421">
        <w:trPr>
          <w:trHeight w:val="315"/>
        </w:trPr>
        <w:tc>
          <w:tcPr>
            <w:tcW w:w="2980" w:type="dxa"/>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rPr>
                <w:color w:val="000000"/>
              </w:rPr>
            </w:pPr>
            <w:r w:rsidRPr="00F45AB9">
              <w:rPr>
                <w:color w:val="000000"/>
                <w:sz w:val="22"/>
              </w:rPr>
              <w:t>Ташкентская область</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0,6758</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0,6603</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0,6505</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0,6806</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0,6703</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0,6675</w:t>
            </w:r>
          </w:p>
        </w:tc>
      </w:tr>
      <w:tr w:rsidR="005E3E8D" w:rsidRPr="00F45AB9" w:rsidTr="009C2421">
        <w:trPr>
          <w:trHeight w:val="315"/>
        </w:trPr>
        <w:tc>
          <w:tcPr>
            <w:tcW w:w="2980" w:type="dxa"/>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rPr>
                <w:color w:val="000000"/>
              </w:rPr>
            </w:pPr>
            <w:r w:rsidRPr="00F45AB9">
              <w:rPr>
                <w:color w:val="000000"/>
                <w:sz w:val="22"/>
              </w:rPr>
              <w:t>Хорезмская область</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0,6444</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0,6541</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0,6510</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0,6667</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0,6587</w:t>
            </w:r>
          </w:p>
        </w:tc>
        <w:tc>
          <w:tcPr>
            <w:tcW w:w="0" w:type="auto"/>
            <w:tcBorders>
              <w:top w:val="single" w:sz="6" w:space="0" w:color="000000"/>
              <w:bottom w:val="single" w:sz="6" w:space="0" w:color="000000"/>
            </w:tcBorders>
            <w:shd w:val="clear" w:color="auto" w:fill="E36C0A" w:themeFill="accent6" w:themeFillShade="BF"/>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0,6550</w:t>
            </w:r>
          </w:p>
        </w:tc>
      </w:tr>
      <w:tr w:rsidR="005E3E8D" w:rsidRPr="00F45AB9" w:rsidTr="009C2421">
        <w:trPr>
          <w:trHeight w:val="315"/>
        </w:trPr>
        <w:tc>
          <w:tcPr>
            <w:tcW w:w="2980" w:type="dxa"/>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rPr>
                <w:color w:val="000000"/>
              </w:rPr>
            </w:pPr>
            <w:r w:rsidRPr="00F45AB9">
              <w:rPr>
                <w:color w:val="000000"/>
                <w:sz w:val="22"/>
              </w:rPr>
              <w:t>Навоийская область</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0,6707</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0,6668</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0,6419</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0,6226</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0,6365</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0,6477</w:t>
            </w:r>
          </w:p>
        </w:tc>
      </w:tr>
      <w:tr w:rsidR="005E3E8D" w:rsidRPr="00F45AB9" w:rsidTr="009C2421">
        <w:trPr>
          <w:trHeight w:val="315"/>
        </w:trPr>
        <w:tc>
          <w:tcPr>
            <w:tcW w:w="2980" w:type="dxa"/>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rPr>
                <w:color w:val="000000"/>
              </w:rPr>
            </w:pPr>
            <w:r w:rsidRPr="00F45AB9">
              <w:rPr>
                <w:color w:val="000000"/>
                <w:sz w:val="22"/>
              </w:rPr>
              <w:t>Сырдарьинская область</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0,6200</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0,6056</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0,6336</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0,6190</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0,6442</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0,6245</w:t>
            </w:r>
          </w:p>
        </w:tc>
      </w:tr>
      <w:tr w:rsidR="005E3E8D" w:rsidRPr="00F45AB9" w:rsidTr="009C2421">
        <w:trPr>
          <w:trHeight w:val="315"/>
        </w:trPr>
        <w:tc>
          <w:tcPr>
            <w:tcW w:w="2980" w:type="dxa"/>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rPr>
                <w:color w:val="000000"/>
              </w:rPr>
            </w:pPr>
            <w:r w:rsidRPr="00F45AB9">
              <w:rPr>
                <w:color w:val="000000"/>
                <w:sz w:val="22"/>
              </w:rPr>
              <w:t>Республика Каракалпакстан</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0,6193</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0,6201</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0,6016</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0,5987</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0,5841</w:t>
            </w:r>
          </w:p>
        </w:tc>
        <w:tc>
          <w:tcPr>
            <w:tcW w:w="0" w:type="auto"/>
            <w:tcBorders>
              <w:top w:val="single" w:sz="6" w:space="0" w:color="000000"/>
              <w:bottom w:val="single" w:sz="6" w:space="0" w:color="000000"/>
            </w:tcBorders>
            <w:shd w:val="clear" w:color="auto" w:fill="FBD4B4" w:themeFill="accent6" w:themeFillTint="66"/>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0,6048</w:t>
            </w:r>
          </w:p>
        </w:tc>
      </w:tr>
      <w:tr w:rsidR="005E3E8D" w:rsidRPr="00F45AB9" w:rsidTr="009C2421">
        <w:trPr>
          <w:trHeight w:val="315"/>
        </w:trPr>
        <w:tc>
          <w:tcPr>
            <w:tcW w:w="2980" w:type="dxa"/>
            <w:tcBorders>
              <w:top w:val="single" w:sz="6" w:space="0" w:color="000000"/>
              <w:bottom w:val="single" w:sz="8" w:space="0" w:color="000000"/>
            </w:tcBorders>
            <w:shd w:val="clear" w:color="auto" w:fill="FFFF00"/>
            <w:noWrap/>
            <w:tcMar>
              <w:top w:w="15" w:type="dxa"/>
              <w:left w:w="15" w:type="dxa"/>
              <w:bottom w:w="0" w:type="dxa"/>
              <w:right w:w="15" w:type="dxa"/>
            </w:tcMar>
            <w:vAlign w:val="bottom"/>
            <w:hideMark/>
          </w:tcPr>
          <w:p w:rsidR="005E3E8D" w:rsidRPr="00F45AB9" w:rsidRDefault="005E3E8D" w:rsidP="009C2421">
            <w:pPr>
              <w:spacing w:after="0" w:line="240" w:lineRule="auto"/>
              <w:rPr>
                <w:color w:val="000000"/>
              </w:rPr>
            </w:pPr>
            <w:r w:rsidRPr="00F45AB9">
              <w:rPr>
                <w:color w:val="000000"/>
                <w:sz w:val="22"/>
              </w:rPr>
              <w:t>Город Ташкент</w:t>
            </w:r>
          </w:p>
        </w:tc>
        <w:tc>
          <w:tcPr>
            <w:tcW w:w="0" w:type="auto"/>
            <w:tcBorders>
              <w:top w:val="single" w:sz="6" w:space="0" w:color="000000"/>
              <w:bottom w:val="single" w:sz="8" w:space="0" w:color="000000"/>
            </w:tcBorders>
            <w:shd w:val="clear" w:color="auto" w:fill="FFFF00"/>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0,5758</w:t>
            </w:r>
          </w:p>
        </w:tc>
        <w:tc>
          <w:tcPr>
            <w:tcW w:w="0" w:type="auto"/>
            <w:tcBorders>
              <w:top w:val="single" w:sz="6" w:space="0" w:color="000000"/>
              <w:bottom w:val="single" w:sz="8" w:space="0" w:color="000000"/>
            </w:tcBorders>
            <w:shd w:val="clear" w:color="auto" w:fill="FFFF00"/>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0,5432</w:t>
            </w:r>
          </w:p>
        </w:tc>
        <w:tc>
          <w:tcPr>
            <w:tcW w:w="0" w:type="auto"/>
            <w:tcBorders>
              <w:top w:val="single" w:sz="6" w:space="0" w:color="000000"/>
              <w:bottom w:val="single" w:sz="8" w:space="0" w:color="000000"/>
            </w:tcBorders>
            <w:shd w:val="clear" w:color="auto" w:fill="FFFF00"/>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0,5119</w:t>
            </w:r>
          </w:p>
        </w:tc>
        <w:tc>
          <w:tcPr>
            <w:tcW w:w="0" w:type="auto"/>
            <w:tcBorders>
              <w:top w:val="single" w:sz="6" w:space="0" w:color="000000"/>
              <w:bottom w:val="single" w:sz="8" w:space="0" w:color="000000"/>
            </w:tcBorders>
            <w:shd w:val="clear" w:color="auto" w:fill="FFFF00"/>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0,5086</w:t>
            </w:r>
          </w:p>
        </w:tc>
        <w:tc>
          <w:tcPr>
            <w:tcW w:w="0" w:type="auto"/>
            <w:tcBorders>
              <w:top w:val="single" w:sz="6" w:space="0" w:color="000000"/>
              <w:bottom w:val="single" w:sz="8" w:space="0" w:color="000000"/>
            </w:tcBorders>
            <w:shd w:val="clear" w:color="auto" w:fill="FFFF00"/>
            <w:noWrap/>
            <w:tcMar>
              <w:top w:w="15" w:type="dxa"/>
              <w:left w:w="15" w:type="dxa"/>
              <w:bottom w:w="0" w:type="dxa"/>
              <w:right w:w="15" w:type="dxa"/>
            </w:tcMar>
            <w:vAlign w:val="bottom"/>
            <w:hideMark/>
          </w:tcPr>
          <w:p w:rsidR="005E3E8D" w:rsidRPr="00F45AB9" w:rsidRDefault="005E3E8D" w:rsidP="009C2421">
            <w:pPr>
              <w:spacing w:after="0" w:line="240" w:lineRule="auto"/>
              <w:jc w:val="center"/>
              <w:rPr>
                <w:color w:val="000000"/>
              </w:rPr>
            </w:pPr>
            <w:r w:rsidRPr="00F45AB9">
              <w:rPr>
                <w:color w:val="000000"/>
                <w:sz w:val="22"/>
              </w:rPr>
              <w:t>0,5511</w:t>
            </w:r>
          </w:p>
        </w:tc>
        <w:tc>
          <w:tcPr>
            <w:tcW w:w="0" w:type="auto"/>
            <w:tcBorders>
              <w:top w:val="single" w:sz="6" w:space="0" w:color="000000"/>
              <w:bottom w:val="single" w:sz="8" w:space="0" w:color="000000"/>
            </w:tcBorders>
            <w:shd w:val="clear" w:color="auto" w:fill="FFFF00"/>
            <w:noWrap/>
            <w:tcMar>
              <w:top w:w="15" w:type="dxa"/>
              <w:left w:w="15" w:type="dxa"/>
              <w:bottom w:w="0" w:type="dxa"/>
              <w:right w:w="15" w:type="dxa"/>
            </w:tcMar>
            <w:vAlign w:val="bottom"/>
            <w:hideMark/>
          </w:tcPr>
          <w:p w:rsidR="005E3E8D" w:rsidRPr="00F45AB9" w:rsidRDefault="005E3E8D" w:rsidP="009C2421">
            <w:pPr>
              <w:spacing w:after="0" w:line="240" w:lineRule="auto"/>
              <w:jc w:val="center"/>
              <w:rPr>
                <w:b/>
                <w:color w:val="000000"/>
              </w:rPr>
            </w:pPr>
            <w:r w:rsidRPr="00F45AB9">
              <w:rPr>
                <w:b/>
                <w:color w:val="000000"/>
                <w:sz w:val="22"/>
              </w:rPr>
              <w:t>0,5381</w:t>
            </w:r>
          </w:p>
        </w:tc>
      </w:tr>
    </w:tbl>
    <w:p w:rsidR="00EF2D60" w:rsidRPr="00F45AB9" w:rsidRDefault="00EF2D60" w:rsidP="00EF2D60">
      <w:pPr>
        <w:spacing w:before="120" w:after="0" w:line="240" w:lineRule="auto"/>
        <w:jc w:val="both"/>
        <w:rPr>
          <w:sz w:val="22"/>
        </w:rPr>
      </w:pPr>
      <w:r w:rsidRPr="00F45AB9">
        <w:rPr>
          <w:sz w:val="22"/>
        </w:rPr>
        <w:t xml:space="preserve">Наиболее высокие показатели заболеваемости наркоманией и алкоголизмом также имею место в </w:t>
      </w:r>
      <w:r w:rsidR="00F01F8F">
        <w:rPr>
          <w:sz w:val="22"/>
        </w:rPr>
        <w:t>урбанизированных и</w:t>
      </w:r>
      <w:r w:rsidRPr="00F45AB9">
        <w:rPr>
          <w:sz w:val="22"/>
        </w:rPr>
        <w:t xml:space="preserve"> индустриально развитых регионах: городе Ташкенте, Навоийской и Самаркандской областях. Но здесь есть существенное различие: если в Ташкенте наблюдается устойчивая тенденция к снижению этого явления, в Самаркандской области - разнонаправленные колебания, то в Навоийской области наркомания и алкоголизм растут, и показатель области уже приближается к уровню наиболее неблагоприятного в этом отношении региона – города Ташкента. В 2008 году заболеваемость наркологическими расстройствами и алкоголизмом составила в Ташкенте 51, в Навоийской области 46,2, в </w:t>
      </w:r>
      <w:r w:rsidR="00F01F8F">
        <w:rPr>
          <w:sz w:val="22"/>
        </w:rPr>
        <w:t>С</w:t>
      </w:r>
      <w:r w:rsidRPr="00F45AB9">
        <w:rPr>
          <w:sz w:val="22"/>
        </w:rPr>
        <w:t xml:space="preserve">амаркандской области 38,9 случаев на 100 тыс. населения. Самое низкое значение показателя наблюдается в </w:t>
      </w:r>
      <w:r w:rsidR="003F2766">
        <w:rPr>
          <w:sz w:val="22"/>
        </w:rPr>
        <w:t>Н</w:t>
      </w:r>
      <w:r w:rsidRPr="00F45AB9">
        <w:rPr>
          <w:sz w:val="22"/>
        </w:rPr>
        <w:t>аманганской - 10,2, Джизакской - 16,6, Сурхандарьинской и Сырдарьинской областях - по 21,3 случая на 100 тыс. населения. Хотя это не значит, что в данных регионах нет проблем с наркоманией и алкоголизмом. Из мировой практики известно, что на одного зарегистрированного наркомана приходится до 10 незарегистрированных, а из жизненного опыта, что ни один пьяница не считает себя алкоголиком и не спешит посетить врача-нарколога.</w:t>
      </w:r>
    </w:p>
    <w:p w:rsidR="00EF2D60" w:rsidRPr="00F45AB9" w:rsidRDefault="00EF2D60" w:rsidP="00EF2D60">
      <w:pPr>
        <w:spacing w:before="120" w:after="0" w:line="240" w:lineRule="auto"/>
        <w:jc w:val="both"/>
        <w:rPr>
          <w:sz w:val="22"/>
        </w:rPr>
      </w:pPr>
      <w:r w:rsidRPr="00F45AB9">
        <w:rPr>
          <w:sz w:val="22"/>
        </w:rPr>
        <w:t>Чаще всего от травм и отравлений страдают жители города Ташкента (6189 случа</w:t>
      </w:r>
      <w:r w:rsidR="003F2766">
        <w:rPr>
          <w:sz w:val="22"/>
        </w:rPr>
        <w:t>ев</w:t>
      </w:r>
      <w:r w:rsidRPr="00F45AB9">
        <w:rPr>
          <w:sz w:val="22"/>
        </w:rPr>
        <w:t xml:space="preserve"> на 100 тыс. населения в 2008 году), Бухарской (4535), Хорезмской (446</w:t>
      </w:r>
      <w:r w:rsidR="003F2766">
        <w:rPr>
          <w:sz w:val="22"/>
        </w:rPr>
        <w:t>1</w:t>
      </w:r>
      <w:r w:rsidRPr="00F45AB9">
        <w:rPr>
          <w:sz w:val="22"/>
        </w:rPr>
        <w:t>) и Наманганской (440</w:t>
      </w:r>
      <w:r w:rsidR="003F2766">
        <w:rPr>
          <w:sz w:val="22"/>
        </w:rPr>
        <w:t>9</w:t>
      </w:r>
      <w:r w:rsidRPr="00F45AB9">
        <w:rPr>
          <w:sz w:val="22"/>
        </w:rPr>
        <w:t>) областей. Наименьшее значение показатель травм и отравлений имеет в Сырдарьинской (148</w:t>
      </w:r>
      <w:r w:rsidR="003F2766">
        <w:rPr>
          <w:sz w:val="22"/>
        </w:rPr>
        <w:t>6</w:t>
      </w:r>
      <w:r w:rsidRPr="00F45AB9">
        <w:rPr>
          <w:sz w:val="22"/>
        </w:rPr>
        <w:t xml:space="preserve">) и Джизакской (1559 случаев на 100 тыс. населения) областях. </w:t>
      </w:r>
    </w:p>
    <w:p w:rsidR="00DC6904" w:rsidRPr="00F45AB9" w:rsidRDefault="00DC6904" w:rsidP="00DC6904">
      <w:pPr>
        <w:spacing w:before="120" w:after="0" w:line="240" w:lineRule="auto"/>
        <w:jc w:val="both"/>
        <w:rPr>
          <w:sz w:val="22"/>
        </w:rPr>
      </w:pPr>
      <w:r w:rsidRPr="00F45AB9">
        <w:rPr>
          <w:b/>
          <w:sz w:val="22"/>
        </w:rPr>
        <w:t xml:space="preserve">Гендерный индекс. </w:t>
      </w:r>
      <w:r w:rsidRPr="00F45AB9">
        <w:rPr>
          <w:sz w:val="22"/>
        </w:rPr>
        <w:t xml:space="preserve">Вопросы достижения равенства между мужчинами и женщинами находятся в центре внимания многих международных, межправительственных и неправительственных организаций. Все больше внимания уделяют им и национальные правительства. В системе показателей оценки уровня развития человека рассчитываются два индекса, характеризующие равенство женщин и мужчин – </w:t>
      </w:r>
      <w:r w:rsidRPr="00F45AB9">
        <w:rPr>
          <w:sz w:val="22"/>
          <w:lang w:val="en-US"/>
        </w:rPr>
        <w:t>GDI</w:t>
      </w:r>
      <w:r w:rsidRPr="00F45AB9">
        <w:rPr>
          <w:sz w:val="22"/>
        </w:rPr>
        <w:t xml:space="preserve"> (аналог </w:t>
      </w:r>
      <w:r w:rsidRPr="00F45AB9">
        <w:rPr>
          <w:sz w:val="22"/>
          <w:lang w:val="en-US"/>
        </w:rPr>
        <w:t>HDI</w:t>
      </w:r>
      <w:r w:rsidRPr="00F45AB9">
        <w:rPr>
          <w:sz w:val="22"/>
        </w:rPr>
        <w:t xml:space="preserve">, рассчитываемый с учетом различия базовых </w:t>
      </w:r>
      <w:r w:rsidRPr="00F45AB9">
        <w:rPr>
          <w:sz w:val="22"/>
        </w:rPr>
        <w:lastRenderedPageBreak/>
        <w:t xml:space="preserve">показателей человеческого развития в данной стране) и </w:t>
      </w:r>
      <w:r w:rsidRPr="00F45AB9">
        <w:rPr>
          <w:sz w:val="22"/>
          <w:lang w:val="en-US"/>
        </w:rPr>
        <w:t>GEM</w:t>
      </w:r>
      <w:r w:rsidRPr="00F45AB9">
        <w:rPr>
          <w:sz w:val="22"/>
        </w:rPr>
        <w:t xml:space="preserve"> (на русский переводится как РПВЖ – индекс расширения прав и возможностей женщин). Эти индексы, хорошо зарекомендовав себя на национальном уровне, не всегда могут быть адекватно использованы на уровне регионов. Например, в регионы Узбекистана значительно отличаются друг от друга по специализации высших и средних специальных/ профессиональных учебных заведений. Соответственно, соотношение учащихся разных полов зависит от того, какова доля в регионе педагогических и медицинских учебных заведений (куда традиционно поступают преимущественно девушки), то есть этот показатель иллюстрирует не столько гендерную дискриминации, сколько специализацию учебных заведений. Другой пример. Доля женщин в органах управления в Узбекистане не может снизиться ниже определенного уровня, потому что существуют квоты на представительство женщин. Например, женщина обязательно должна занимать пост заместителя хокима (руководителя администрации) региона или района. Подобного же «квотного» принципа придерживаются и политические партии при выдвижении кандидатов в депутаты Олий Мажлиса (парламента). </w:t>
      </w:r>
    </w:p>
    <w:p w:rsidR="00DC6904" w:rsidRPr="00F45AB9" w:rsidRDefault="00DC6904" w:rsidP="00DC6904">
      <w:pPr>
        <w:spacing w:before="120" w:after="0" w:line="240" w:lineRule="auto"/>
        <w:jc w:val="both"/>
        <w:rPr>
          <w:sz w:val="22"/>
        </w:rPr>
      </w:pPr>
      <w:r w:rsidRPr="00F45AB9">
        <w:rPr>
          <w:sz w:val="22"/>
        </w:rPr>
        <w:t xml:space="preserve">В этой связи, в качестве единственного показателя более или менее адекватно отражающего гендерный баланс был выбран показатель доли женщин в численности занятых в экономике. У этого показателя много положительных сторон. Он характеризует, насколько женщины имеют доступ к оплачиваемой работе, то есть к доходу. Соответственно, он показывает уровень независимости женщин. Он также показывает, насколько женщины способны участвовать в общественном производстве, а значит косвенно уровень их здоровья, а если посмотреть занятость с разбивкой по отраслям, то и образования. Естественным представляется, чтобы доля женщин в численности занятых была близкой к их доле в численности трудоспособного населения. Сравнение этих двух показателей позволило нам составить гендерный компонент социального индекса человеческого развития – см. </w:t>
      </w:r>
      <w:r w:rsidRPr="00F45AB9">
        <w:rPr>
          <w:sz w:val="22"/>
          <w:highlight w:val="yellow"/>
        </w:rPr>
        <w:t xml:space="preserve">Таблицу </w:t>
      </w:r>
      <w:r w:rsidR="00735641" w:rsidRPr="00F45AB9">
        <w:rPr>
          <w:sz w:val="22"/>
          <w:highlight w:val="yellow"/>
        </w:rPr>
        <w:t>7</w:t>
      </w:r>
      <w:r w:rsidRPr="00F45AB9">
        <w:rPr>
          <w:sz w:val="22"/>
        </w:rPr>
        <w:t>.</w:t>
      </w:r>
    </w:p>
    <w:p w:rsidR="00DC6904" w:rsidRPr="00F45AB9" w:rsidRDefault="00DC6904" w:rsidP="00DC6904">
      <w:pPr>
        <w:spacing w:before="120" w:after="0" w:line="240" w:lineRule="auto"/>
        <w:jc w:val="both"/>
        <w:rPr>
          <w:b/>
          <w:sz w:val="22"/>
        </w:rPr>
      </w:pPr>
      <w:r w:rsidRPr="00F45AB9">
        <w:rPr>
          <w:b/>
          <w:sz w:val="22"/>
        </w:rPr>
        <w:t xml:space="preserve">Таблица </w:t>
      </w:r>
      <w:r w:rsidR="00735641" w:rsidRPr="00F45AB9">
        <w:rPr>
          <w:b/>
          <w:sz w:val="22"/>
        </w:rPr>
        <w:t>7</w:t>
      </w:r>
      <w:r w:rsidRPr="00F45AB9">
        <w:rPr>
          <w:b/>
          <w:sz w:val="22"/>
        </w:rPr>
        <w:t>. Гендерный компонент СЭЧР.</w:t>
      </w:r>
    </w:p>
    <w:tbl>
      <w:tblPr>
        <w:tblW w:w="9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2920"/>
        <w:gridCol w:w="1080"/>
        <w:gridCol w:w="1080"/>
        <w:gridCol w:w="1080"/>
        <w:gridCol w:w="1080"/>
        <w:gridCol w:w="1080"/>
        <w:gridCol w:w="1080"/>
      </w:tblGrid>
      <w:tr w:rsidR="00DC6904" w:rsidRPr="00F45AB9" w:rsidTr="0053139F">
        <w:trPr>
          <w:trHeight w:val="315"/>
        </w:trPr>
        <w:tc>
          <w:tcPr>
            <w:tcW w:w="2920" w:type="dxa"/>
            <w:shd w:val="clear" w:color="auto" w:fill="auto"/>
            <w:noWrap/>
            <w:tcMar>
              <w:top w:w="15" w:type="dxa"/>
              <w:left w:w="15" w:type="dxa"/>
              <w:bottom w:w="0" w:type="dxa"/>
              <w:right w:w="15" w:type="dxa"/>
            </w:tcMar>
            <w:vAlign w:val="bottom"/>
            <w:hideMark/>
          </w:tcPr>
          <w:p w:rsidR="00DC6904" w:rsidRPr="00F45AB9" w:rsidRDefault="00DC6904" w:rsidP="0053139F">
            <w:pPr>
              <w:spacing w:after="0" w:line="240" w:lineRule="auto"/>
              <w:rPr>
                <w:b/>
                <w:color w:val="000000"/>
              </w:rPr>
            </w:pPr>
            <w:r w:rsidRPr="00F45AB9">
              <w:rPr>
                <w:b/>
                <w:color w:val="000000"/>
                <w:sz w:val="22"/>
              </w:rPr>
              <w:t>Регион</w:t>
            </w:r>
          </w:p>
        </w:tc>
        <w:tc>
          <w:tcPr>
            <w:tcW w:w="1080" w:type="dxa"/>
            <w:shd w:val="clear" w:color="auto" w:fill="auto"/>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2004</w:t>
            </w:r>
          </w:p>
        </w:tc>
        <w:tc>
          <w:tcPr>
            <w:tcW w:w="1080" w:type="dxa"/>
            <w:shd w:val="clear" w:color="auto" w:fill="auto"/>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2005</w:t>
            </w:r>
          </w:p>
        </w:tc>
        <w:tc>
          <w:tcPr>
            <w:tcW w:w="1080" w:type="dxa"/>
            <w:shd w:val="clear" w:color="auto" w:fill="auto"/>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2006</w:t>
            </w:r>
          </w:p>
        </w:tc>
        <w:tc>
          <w:tcPr>
            <w:tcW w:w="1080" w:type="dxa"/>
            <w:shd w:val="clear" w:color="auto" w:fill="auto"/>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2007</w:t>
            </w:r>
          </w:p>
        </w:tc>
        <w:tc>
          <w:tcPr>
            <w:tcW w:w="1080" w:type="dxa"/>
            <w:shd w:val="clear" w:color="auto" w:fill="auto"/>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2008</w:t>
            </w:r>
          </w:p>
        </w:tc>
        <w:tc>
          <w:tcPr>
            <w:tcW w:w="1080" w:type="dxa"/>
            <w:shd w:val="clear" w:color="auto" w:fill="auto"/>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Среднее</w:t>
            </w:r>
          </w:p>
        </w:tc>
      </w:tr>
      <w:tr w:rsidR="00DC6904" w:rsidRPr="00F45AB9" w:rsidTr="0053139F">
        <w:trPr>
          <w:trHeight w:val="315"/>
        </w:trPr>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rPr>
                <w:color w:val="000000"/>
              </w:rPr>
            </w:pPr>
            <w:r w:rsidRPr="00F45AB9">
              <w:rPr>
                <w:color w:val="000000"/>
                <w:sz w:val="22"/>
              </w:rPr>
              <w:t>Ферганская область</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0,9952</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0,8539</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0,9104</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0,9088</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0,9182</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0,9173</w:t>
            </w:r>
          </w:p>
        </w:tc>
      </w:tr>
      <w:tr w:rsidR="00DC6904" w:rsidRPr="00F45AB9" w:rsidTr="0053139F">
        <w:trPr>
          <w:trHeight w:val="315"/>
        </w:trPr>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rPr>
                <w:color w:val="000000"/>
              </w:rPr>
            </w:pPr>
            <w:r w:rsidRPr="00F45AB9">
              <w:rPr>
                <w:color w:val="000000"/>
                <w:sz w:val="22"/>
              </w:rPr>
              <w:t>Андижанская область</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0,9476</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0,9660</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0,9103</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0,8285</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0,9139</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0,9133</w:t>
            </w:r>
          </w:p>
        </w:tc>
      </w:tr>
      <w:tr w:rsidR="00DC6904" w:rsidRPr="00F45AB9" w:rsidTr="0053139F">
        <w:trPr>
          <w:trHeight w:val="315"/>
        </w:trPr>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rPr>
                <w:color w:val="000000"/>
              </w:rPr>
            </w:pPr>
            <w:r w:rsidRPr="00F45AB9">
              <w:rPr>
                <w:color w:val="000000"/>
                <w:sz w:val="22"/>
              </w:rPr>
              <w:t>Город Ташкент</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0,9124</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0,9253</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0,8831</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0,8842</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0,9041</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0,9018</w:t>
            </w:r>
          </w:p>
        </w:tc>
      </w:tr>
      <w:tr w:rsidR="00DC6904" w:rsidRPr="00F45AB9" w:rsidTr="0053139F">
        <w:trPr>
          <w:trHeight w:val="315"/>
        </w:trPr>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rPr>
                <w:color w:val="000000"/>
              </w:rPr>
            </w:pPr>
            <w:r w:rsidRPr="00F45AB9">
              <w:rPr>
                <w:color w:val="000000"/>
                <w:sz w:val="22"/>
              </w:rPr>
              <w:t>Республика Каракалпакстан</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0,9058</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0,8705</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0,8712</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0,9121</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0,8919</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0,8903</w:t>
            </w:r>
          </w:p>
        </w:tc>
      </w:tr>
      <w:tr w:rsidR="00DC6904" w:rsidRPr="00F45AB9" w:rsidTr="0053139F">
        <w:trPr>
          <w:trHeight w:val="315"/>
        </w:trPr>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rPr>
                <w:color w:val="000000"/>
              </w:rPr>
            </w:pPr>
            <w:r w:rsidRPr="00F45AB9">
              <w:rPr>
                <w:color w:val="000000"/>
                <w:sz w:val="22"/>
              </w:rPr>
              <w:t>Бухарская область</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0,9252</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0,9175</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0,8497</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0,8539</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0,8869</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0,8867</w:t>
            </w:r>
          </w:p>
        </w:tc>
      </w:tr>
      <w:tr w:rsidR="00DC6904" w:rsidRPr="00F45AB9" w:rsidTr="0053139F">
        <w:trPr>
          <w:trHeight w:val="315"/>
        </w:trPr>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rPr>
                <w:color w:val="000000"/>
              </w:rPr>
            </w:pPr>
            <w:r w:rsidRPr="00F45AB9">
              <w:rPr>
                <w:color w:val="000000"/>
                <w:sz w:val="22"/>
              </w:rPr>
              <w:t>Ташкентская область</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0,8713</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0,9058</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0,8743</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0,8765</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0,8826</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0,8821</w:t>
            </w:r>
          </w:p>
        </w:tc>
      </w:tr>
      <w:tr w:rsidR="00DC6904" w:rsidRPr="00F45AB9" w:rsidTr="0053139F">
        <w:trPr>
          <w:trHeight w:val="315"/>
        </w:trPr>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rPr>
                <w:color w:val="000000"/>
              </w:rPr>
            </w:pPr>
            <w:r w:rsidRPr="00F45AB9">
              <w:rPr>
                <w:color w:val="000000"/>
                <w:sz w:val="22"/>
              </w:rPr>
              <w:t>Хорезмская область</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0,9373</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0,9376</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0,7645</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0,8821</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0,8810</w:t>
            </w:r>
          </w:p>
        </w:tc>
        <w:tc>
          <w:tcPr>
            <w:tcW w:w="0" w:type="auto"/>
            <w:shd w:val="clear" w:color="auto" w:fill="92CDDC" w:themeFill="accent5" w:themeFillTint="99"/>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0,8805</w:t>
            </w:r>
          </w:p>
        </w:tc>
      </w:tr>
      <w:tr w:rsidR="00DC6904" w:rsidRPr="00F45AB9" w:rsidTr="0053139F">
        <w:trPr>
          <w:trHeight w:val="315"/>
        </w:trPr>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rPr>
                <w:color w:val="000000"/>
              </w:rPr>
            </w:pPr>
            <w:r w:rsidRPr="00F45AB9">
              <w:rPr>
                <w:color w:val="000000"/>
                <w:sz w:val="22"/>
              </w:rPr>
              <w:t>Наманганская область</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0,8631</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0,8251</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0,8352</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0,8897</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0,8539</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0,8534</w:t>
            </w:r>
          </w:p>
        </w:tc>
      </w:tr>
      <w:tr w:rsidR="00DC6904" w:rsidRPr="00F45AB9" w:rsidTr="0053139F">
        <w:trPr>
          <w:trHeight w:val="315"/>
        </w:trPr>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rPr>
                <w:color w:val="000000"/>
              </w:rPr>
            </w:pPr>
            <w:r w:rsidRPr="00F45AB9">
              <w:rPr>
                <w:color w:val="000000"/>
                <w:sz w:val="22"/>
              </w:rPr>
              <w:t>Самаркандская область</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0,8670</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0,9091</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0,7714</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0,8017</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0,8381</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0,8375</w:t>
            </w:r>
          </w:p>
        </w:tc>
      </w:tr>
      <w:tr w:rsidR="00DC6904" w:rsidRPr="00F45AB9" w:rsidTr="0053139F">
        <w:trPr>
          <w:trHeight w:val="315"/>
        </w:trPr>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rPr>
                <w:color w:val="000000"/>
              </w:rPr>
            </w:pPr>
            <w:r w:rsidRPr="00F45AB9">
              <w:rPr>
                <w:color w:val="000000"/>
                <w:sz w:val="22"/>
              </w:rPr>
              <w:t>Навоийская область</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0,8138</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0,8206</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0,8048</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0,7892</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0,8080</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0,8073</w:t>
            </w:r>
          </w:p>
        </w:tc>
      </w:tr>
      <w:tr w:rsidR="00DC6904" w:rsidRPr="00F45AB9" w:rsidTr="0053139F">
        <w:trPr>
          <w:trHeight w:val="315"/>
        </w:trPr>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rPr>
                <w:color w:val="000000"/>
              </w:rPr>
            </w:pPr>
            <w:r w:rsidRPr="00F45AB9">
              <w:rPr>
                <w:color w:val="000000"/>
                <w:sz w:val="22"/>
              </w:rPr>
              <w:t>Сурхандарьинская область</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0,7008</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0,7693</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0,8119</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0,8523</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0,7839</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0,7836</w:t>
            </w:r>
          </w:p>
        </w:tc>
      </w:tr>
      <w:tr w:rsidR="00DC6904" w:rsidRPr="00F45AB9" w:rsidTr="0053139F">
        <w:trPr>
          <w:trHeight w:val="315"/>
        </w:trPr>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rPr>
                <w:color w:val="000000"/>
              </w:rPr>
            </w:pPr>
            <w:r w:rsidRPr="00F45AB9">
              <w:rPr>
                <w:color w:val="000000"/>
                <w:sz w:val="22"/>
              </w:rPr>
              <w:t>Сырдарьинская область</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0,8350</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0,6985</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0,7312</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0,8237</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0,7728</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0,7722</w:t>
            </w:r>
          </w:p>
        </w:tc>
      </w:tr>
      <w:tr w:rsidR="00DC6904" w:rsidRPr="00F45AB9" w:rsidTr="0053139F">
        <w:trPr>
          <w:trHeight w:val="315"/>
        </w:trPr>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rPr>
                <w:color w:val="000000"/>
              </w:rPr>
            </w:pPr>
            <w:r w:rsidRPr="00F45AB9">
              <w:rPr>
                <w:color w:val="000000"/>
                <w:sz w:val="22"/>
              </w:rPr>
              <w:t>Кашкадарьинская область</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0,7552</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0,7692</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0,7573</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0,7633</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0,7615</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0,7613</w:t>
            </w:r>
          </w:p>
        </w:tc>
      </w:tr>
      <w:tr w:rsidR="00DC6904" w:rsidRPr="00F45AB9" w:rsidTr="0053139F">
        <w:trPr>
          <w:trHeight w:val="315"/>
        </w:trPr>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rPr>
                <w:color w:val="000000"/>
              </w:rPr>
            </w:pPr>
            <w:r w:rsidRPr="00F45AB9">
              <w:rPr>
                <w:color w:val="000000"/>
                <w:sz w:val="22"/>
              </w:rPr>
              <w:t>Джизакская область</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0,7073</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0,6196</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0,5578</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0,8161</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color w:val="000000"/>
              </w:rPr>
            </w:pPr>
            <w:r w:rsidRPr="00F45AB9">
              <w:rPr>
                <w:color w:val="000000"/>
                <w:sz w:val="22"/>
              </w:rPr>
              <w:t>0,6757</w:t>
            </w:r>
          </w:p>
        </w:tc>
        <w:tc>
          <w:tcPr>
            <w:tcW w:w="0" w:type="auto"/>
            <w:shd w:val="clear" w:color="auto" w:fill="FBD4B4" w:themeFill="accent6" w:themeFillTint="66"/>
            <w:noWrap/>
            <w:tcMar>
              <w:top w:w="15" w:type="dxa"/>
              <w:left w:w="15" w:type="dxa"/>
              <w:bottom w:w="0" w:type="dxa"/>
              <w:right w:w="15" w:type="dxa"/>
            </w:tcMar>
            <w:vAlign w:val="bottom"/>
            <w:hideMark/>
          </w:tcPr>
          <w:p w:rsidR="00DC6904" w:rsidRPr="00F45AB9" w:rsidRDefault="00DC6904" w:rsidP="0053139F">
            <w:pPr>
              <w:spacing w:after="0" w:line="240" w:lineRule="auto"/>
              <w:jc w:val="center"/>
              <w:rPr>
                <w:b/>
                <w:color w:val="000000"/>
              </w:rPr>
            </w:pPr>
            <w:r w:rsidRPr="00F45AB9">
              <w:rPr>
                <w:b/>
                <w:color w:val="000000"/>
                <w:sz w:val="22"/>
              </w:rPr>
              <w:t>0,6753</w:t>
            </w:r>
          </w:p>
        </w:tc>
      </w:tr>
    </w:tbl>
    <w:p w:rsidR="00DC6904" w:rsidRDefault="00DC6904" w:rsidP="00DC6904">
      <w:pPr>
        <w:spacing w:before="120" w:after="0" w:line="240" w:lineRule="auto"/>
        <w:jc w:val="both"/>
        <w:rPr>
          <w:sz w:val="22"/>
        </w:rPr>
      </w:pPr>
      <w:r w:rsidRPr="00F45AB9">
        <w:rPr>
          <w:sz w:val="22"/>
        </w:rPr>
        <w:t xml:space="preserve">По уровню гендерного индекса регионы четко делятся по географическому признаку. Наиболее высока занятость женщин на востоке и западе страны. Центр и юг характеризуются меньшей долей женщин в численности занятых. В Андижанской области она была даже выше, чем в Ташкенте и достигала уровня  от 41,4 до 48,35% в течении 2004-2008 годов. В Бухарской области показатель доли женщин в общем числе занятых составлял от 42,7 до 46,5%, в Ташкенте – 44,9-47,1%. В это же время доля женщин в занятости в Джизакской области колебалась в пределах 27,9-40,8%,, Кашкадарьинской – в пределах 37,7-38,4%. </w:t>
      </w:r>
    </w:p>
    <w:p w:rsidR="004D6154" w:rsidRDefault="004D6154">
      <w:pPr>
        <w:rPr>
          <w:sz w:val="22"/>
        </w:rPr>
      </w:pPr>
      <w:r>
        <w:rPr>
          <w:sz w:val="22"/>
        </w:rPr>
        <w:br w:type="page"/>
      </w:r>
    </w:p>
    <w:p w:rsidR="004D6154" w:rsidRDefault="004D6154" w:rsidP="004D6154">
      <w:pPr>
        <w:spacing w:before="100" w:after="0" w:line="240" w:lineRule="auto"/>
        <w:jc w:val="center"/>
        <w:rPr>
          <w:b/>
          <w:sz w:val="28"/>
          <w:szCs w:val="28"/>
        </w:rPr>
      </w:pPr>
      <w:r w:rsidRPr="006A5551">
        <w:rPr>
          <w:b/>
          <w:sz w:val="28"/>
          <w:szCs w:val="28"/>
        </w:rPr>
        <w:lastRenderedPageBreak/>
        <w:t xml:space="preserve">Приложение </w:t>
      </w:r>
      <w:r>
        <w:rPr>
          <w:b/>
          <w:sz w:val="28"/>
          <w:szCs w:val="28"/>
        </w:rPr>
        <w:t>5</w:t>
      </w:r>
      <w:r w:rsidRPr="006A5551">
        <w:rPr>
          <w:b/>
          <w:sz w:val="28"/>
          <w:szCs w:val="28"/>
        </w:rPr>
        <w:t xml:space="preserve">. </w:t>
      </w:r>
      <w:r>
        <w:rPr>
          <w:b/>
          <w:sz w:val="28"/>
          <w:szCs w:val="28"/>
        </w:rPr>
        <w:t>Отдельные показатели, характеризующие процессы достижения Целей тысячелетия на уровне регионов Узбекистана</w:t>
      </w:r>
    </w:p>
    <w:p w:rsidR="004D6154" w:rsidRPr="00F45AB9" w:rsidRDefault="004D6154" w:rsidP="004D6154">
      <w:pPr>
        <w:spacing w:after="0" w:line="240" w:lineRule="auto"/>
        <w:jc w:val="center"/>
        <w:rPr>
          <w:b/>
          <w:bCs/>
          <w:color w:val="000000"/>
          <w:sz w:val="22"/>
        </w:rPr>
      </w:pPr>
    </w:p>
    <w:tbl>
      <w:tblPr>
        <w:tblW w:w="10957" w:type="dxa"/>
        <w:tblInd w:w="-1168" w:type="dxa"/>
        <w:tblLook w:val="04A0"/>
      </w:tblPr>
      <w:tblGrid>
        <w:gridCol w:w="1843"/>
        <w:gridCol w:w="616"/>
        <w:gridCol w:w="709"/>
        <w:gridCol w:w="709"/>
        <w:gridCol w:w="708"/>
        <w:gridCol w:w="1060"/>
        <w:gridCol w:w="1868"/>
        <w:gridCol w:w="616"/>
        <w:gridCol w:w="616"/>
        <w:gridCol w:w="576"/>
        <w:gridCol w:w="576"/>
        <w:gridCol w:w="1060"/>
      </w:tblGrid>
      <w:tr w:rsidR="004D6154" w:rsidRPr="00124893" w:rsidTr="004D6154">
        <w:trPr>
          <w:trHeight w:val="300"/>
        </w:trPr>
        <w:tc>
          <w:tcPr>
            <w:tcW w:w="56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b/>
                <w:bCs/>
                <w:color w:val="000000"/>
                <w:sz w:val="18"/>
                <w:szCs w:val="18"/>
              </w:rPr>
            </w:pPr>
            <w:r w:rsidRPr="00486B01">
              <w:rPr>
                <w:b/>
                <w:bCs/>
                <w:color w:val="000000"/>
                <w:sz w:val="18"/>
                <w:szCs w:val="18"/>
              </w:rPr>
              <w:t>Задача №1: Сокращение малообеспеченности (показатель - уровень малообеспеченности, %)</w:t>
            </w:r>
          </w:p>
        </w:tc>
        <w:tc>
          <w:tcPr>
            <w:tcW w:w="5312" w:type="dxa"/>
            <w:gridSpan w:val="6"/>
            <w:tcBorders>
              <w:top w:val="single" w:sz="4" w:space="0" w:color="auto"/>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b/>
                <w:bCs/>
                <w:color w:val="000000"/>
                <w:sz w:val="18"/>
                <w:szCs w:val="18"/>
              </w:rPr>
            </w:pPr>
            <w:r w:rsidRPr="00486B01">
              <w:rPr>
                <w:b/>
                <w:bCs/>
                <w:color w:val="000000"/>
                <w:sz w:val="18"/>
                <w:szCs w:val="18"/>
              </w:rPr>
              <w:t xml:space="preserve">Задача№5: Сокращение  смертности среди детей в возрасте до 5 лет, показатель - уровень детской смертности (на 1000 детей в возрасте до 5 лет), чел. </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rPr>
                <w:color w:val="000000"/>
                <w:sz w:val="18"/>
                <w:szCs w:val="18"/>
              </w:rPr>
            </w:pPr>
            <w:r w:rsidRPr="00486B01">
              <w:rPr>
                <w:color w:val="000000"/>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2004</w:t>
            </w:r>
          </w:p>
        </w:tc>
        <w:tc>
          <w:tcPr>
            <w:tcW w:w="709"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2005</w:t>
            </w:r>
          </w:p>
        </w:tc>
        <w:tc>
          <w:tcPr>
            <w:tcW w:w="709"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2006</w:t>
            </w:r>
          </w:p>
        </w:tc>
        <w:tc>
          <w:tcPr>
            <w:tcW w:w="70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2007</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Изменение показателя за 2004-2007 гг.</w:t>
            </w:r>
          </w:p>
        </w:tc>
        <w:tc>
          <w:tcPr>
            <w:tcW w:w="1868"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rPr>
                <w:color w:val="000000"/>
                <w:sz w:val="18"/>
                <w:szCs w:val="18"/>
              </w:rPr>
            </w:pPr>
            <w:r w:rsidRPr="00486B01">
              <w:rPr>
                <w:color w:val="000000"/>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2000</w:t>
            </w:r>
          </w:p>
        </w:tc>
        <w:tc>
          <w:tcPr>
            <w:tcW w:w="616"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2004</w:t>
            </w:r>
          </w:p>
        </w:tc>
        <w:tc>
          <w:tcPr>
            <w:tcW w:w="576"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2006</w:t>
            </w:r>
          </w:p>
        </w:tc>
        <w:tc>
          <w:tcPr>
            <w:tcW w:w="576"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2008</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Изменение показателя за 2000-2008 гг.</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Ташкентская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21,3</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20,4</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19,8</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18,2</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-14,6%</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Сурхандарьин.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34,9</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19,8</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17,2</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14,8</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-57,6%</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г. Ташкент</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6,7</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6,4</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-14,3%</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Навоийская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27,7</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18,1</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15,2</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13,2</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-52,3%</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Бухарская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21</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20,8</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19,8</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18,6</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-11,4%</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Хорезмская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37,9</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24,1</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22,5</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20,2</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-46,7%</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Андижанская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23,5</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23,1</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22,2</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21,1</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-10,2%</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Кашкадарьин.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29,3</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20,7</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18,9</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17</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-42,0%</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Самарканд.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24,2</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23,9</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23</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21,8</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-9,9%</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Р. Каракалпакстан</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32,4</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25,9</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22,9</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18,8</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-42,0%</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Хорезмская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31,5</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31</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29,9</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28,4</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-9,8%</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Ташкентская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26,9</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21,4</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15,8</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-41,3%</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Ферганская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16</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15,8</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15,2</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14,6</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-8,8%</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Джизакская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25,4</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17</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15,3</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15</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-40,9%</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Навоийская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26,4</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26,3</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25,4</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24,1</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-8,7%</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Наманганская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29,3</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19,2</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17,9</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17,7</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-39,6%</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Кашкадарьин.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41,5</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41</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39,8</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38</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-8,4%</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Самарканд</w:t>
            </w:r>
            <w:r>
              <w:rPr>
                <w:color w:val="000000"/>
                <w:sz w:val="18"/>
                <w:szCs w:val="18"/>
              </w:rPr>
              <w:t>.</w:t>
            </w:r>
            <w:r w:rsidRPr="00486B01">
              <w:rPr>
                <w:color w:val="000000"/>
                <w:sz w:val="18"/>
                <w:szCs w:val="18"/>
              </w:rPr>
              <w:t xml:space="preserve">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25,3</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18,7</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17,5</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15,3</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-39,5%</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Наманганская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33,8</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33,4</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32,4</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31</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-8,3%</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Бухарская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27,8</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19,4</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17,5</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17,9</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-35,6%</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Сурхандарьин.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34,8</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34,6</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33,6</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32,2</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-7,5%</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Сырдарьинская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25,3</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22,1</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17,6</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-30,4%</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Сырдарьинская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33,1</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32,6</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31,7</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30,7</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-7,3%</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Ферганская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28,5</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26</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26,3</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19,9</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-30,2%</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Р. Каракалпакстан</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44,7</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44</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43,1</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41,6</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-6,9%</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Андижанская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23,7</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19,7</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19,3</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17,3</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-27,0%</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Джизакская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29,7</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29,6</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28,8</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27,9</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-6,1%</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г. Ташкент</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23</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25,7</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27,2</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20,6</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-10,4%</w:t>
            </w:r>
          </w:p>
        </w:tc>
      </w:tr>
      <w:tr w:rsidR="004D6154" w:rsidRPr="00124893" w:rsidTr="004D6154">
        <w:trPr>
          <w:trHeight w:val="300"/>
        </w:trPr>
        <w:tc>
          <w:tcPr>
            <w:tcW w:w="56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b/>
                <w:bCs/>
                <w:color w:val="000000"/>
                <w:sz w:val="18"/>
                <w:szCs w:val="18"/>
              </w:rPr>
            </w:pPr>
            <w:r w:rsidRPr="00486B01">
              <w:rPr>
                <w:b/>
                <w:bCs/>
                <w:color w:val="000000"/>
                <w:sz w:val="18"/>
                <w:szCs w:val="18"/>
              </w:rPr>
              <w:t>Задача №6: Сокращение материнской смертности, показатель - материнская смертность (на 100 000 родившихся), чел.</w:t>
            </w:r>
          </w:p>
        </w:tc>
        <w:tc>
          <w:tcPr>
            <w:tcW w:w="5312" w:type="dxa"/>
            <w:gridSpan w:val="6"/>
            <w:tcBorders>
              <w:top w:val="single" w:sz="4" w:space="0" w:color="auto"/>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b/>
                <w:bCs/>
                <w:color w:val="000000"/>
                <w:sz w:val="18"/>
                <w:szCs w:val="18"/>
              </w:rPr>
            </w:pPr>
            <w:r w:rsidRPr="00486B01">
              <w:rPr>
                <w:b/>
                <w:bCs/>
                <w:color w:val="000000"/>
                <w:sz w:val="18"/>
                <w:szCs w:val="18"/>
              </w:rPr>
              <w:t xml:space="preserve">Задача №7: Остановить распростра-нение ВИЧ/СПИДа и положить начало тенденции к сокращению заболеваемости им, показатель - число случаев заболеваемости ВИЧ, на 100 тыс.чел., чел. </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rPr>
                <w:color w:val="000000"/>
                <w:sz w:val="18"/>
                <w:szCs w:val="18"/>
              </w:rPr>
            </w:pPr>
            <w:r w:rsidRPr="00486B01">
              <w:rPr>
                <w:color w:val="000000"/>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2000</w:t>
            </w:r>
          </w:p>
        </w:tc>
        <w:tc>
          <w:tcPr>
            <w:tcW w:w="709"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2004</w:t>
            </w:r>
          </w:p>
        </w:tc>
        <w:tc>
          <w:tcPr>
            <w:tcW w:w="709"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2006</w:t>
            </w:r>
          </w:p>
        </w:tc>
        <w:tc>
          <w:tcPr>
            <w:tcW w:w="70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2008</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Изменение показателя за 2000-2008 гг.</w:t>
            </w:r>
          </w:p>
        </w:tc>
        <w:tc>
          <w:tcPr>
            <w:tcW w:w="1868"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rPr>
                <w:color w:val="000000"/>
                <w:sz w:val="18"/>
                <w:szCs w:val="18"/>
              </w:rPr>
            </w:pPr>
            <w:r w:rsidRPr="00486B01">
              <w:rPr>
                <w:color w:val="000000"/>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2003</w:t>
            </w:r>
          </w:p>
        </w:tc>
        <w:tc>
          <w:tcPr>
            <w:tcW w:w="616"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2004</w:t>
            </w:r>
          </w:p>
        </w:tc>
        <w:tc>
          <w:tcPr>
            <w:tcW w:w="576"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2006</w:t>
            </w:r>
          </w:p>
        </w:tc>
        <w:tc>
          <w:tcPr>
            <w:tcW w:w="576"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2008</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Изменение показателя за 2003-2008 гг.</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Навоийская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91,6</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55,8</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42,9</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27,7</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-69,8%</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Р. Каракалпакстан</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0,5</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0,1</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0,1</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-80,0%</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г. Ташкент</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63,9</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52,3</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22</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23,5</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-63,2%</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Кашкадарьин</w:t>
            </w:r>
            <w:r>
              <w:rPr>
                <w:color w:val="000000"/>
                <w:sz w:val="18"/>
                <w:szCs w:val="18"/>
              </w:rPr>
              <w:t>.</w:t>
            </w:r>
            <w:r w:rsidRPr="00486B01">
              <w:rPr>
                <w:color w:val="000000"/>
                <w:sz w:val="18"/>
                <w:szCs w:val="18"/>
              </w:rPr>
              <w:t xml:space="preserve">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2,9</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0,3</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0,9</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1,5</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-48,3%</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Джизакская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29,4</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24,5</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21,1</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10,9</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-62,9%</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Бухарская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5,4</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3,3</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4,4</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-18,5%</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Самаркандская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26,4</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20,9</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14,5</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12,8</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-51,5%</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Хорезмская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1,5</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1,5</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1,3</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-13,3%</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Сурхандарьин</w:t>
            </w:r>
            <w:r>
              <w:rPr>
                <w:color w:val="000000"/>
                <w:sz w:val="18"/>
                <w:szCs w:val="18"/>
              </w:rPr>
              <w:t>.</w:t>
            </w:r>
            <w:r w:rsidRPr="00486B01">
              <w:rPr>
                <w:color w:val="000000"/>
                <w:sz w:val="18"/>
                <w:szCs w:val="18"/>
              </w:rPr>
              <w:t xml:space="preserve">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24,6</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19,5</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18,2</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15,3</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-37,8%</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Сырдарьинская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7,1</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2,8</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7,6</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7,0%</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Наманганская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27</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21</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35,2</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18,6</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-31,1%</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г. Ташкент</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40,4</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28,1</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54,6</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43,3</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7,2%</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Кашкадарьин</w:t>
            </w:r>
            <w:r>
              <w:rPr>
                <w:color w:val="000000"/>
                <w:sz w:val="18"/>
                <w:szCs w:val="18"/>
              </w:rPr>
              <w:t>.</w:t>
            </w:r>
            <w:r w:rsidRPr="00486B01">
              <w:rPr>
                <w:color w:val="000000"/>
                <w:sz w:val="18"/>
                <w:szCs w:val="18"/>
              </w:rPr>
              <w:t xml:space="preserve">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39,9</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24,4</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22,2</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28,1</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-29,6%</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Самаркандская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3,3</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9,3</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7,2</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Pr>
                <w:color w:val="000000"/>
                <w:sz w:val="18"/>
                <w:szCs w:val="18"/>
              </w:rPr>
              <w:t>Р</w:t>
            </w:r>
            <w:r w:rsidRPr="00486B01">
              <w:rPr>
                <w:color w:val="000000"/>
                <w:sz w:val="18"/>
                <w:szCs w:val="18"/>
              </w:rPr>
              <w:t>. Каракалпакстан</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38,8</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22,9</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28,4</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28,4</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-26,8%</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Джизакская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1,7</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1,6</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2,5</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47,1%</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Бухарская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49</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23,4</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19,6</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38,5</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-21,4%</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Ташкентская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12,6</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17,5</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23,7</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19,3</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53,2%</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Сырдарьинская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21</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21,5</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19,6</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17,6</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-16,2%</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Сурхандарьин</w:t>
            </w:r>
            <w:r>
              <w:rPr>
                <w:color w:val="000000"/>
                <w:sz w:val="18"/>
                <w:szCs w:val="18"/>
              </w:rPr>
              <w:t>.</w:t>
            </w:r>
            <w:r w:rsidRPr="00486B01">
              <w:rPr>
                <w:color w:val="000000"/>
                <w:sz w:val="18"/>
                <w:szCs w:val="18"/>
              </w:rPr>
              <w:t xml:space="preserve">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2,8</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5,8</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6,2</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121,4%</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Ферганская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22,5</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31,6</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27</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19,3</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-14,2%</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Ферганская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2,7</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3,1</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7,2</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166,7%</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Андижанская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20,2</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25,7</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24,8</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19,3</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-4,5%</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Навоийская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0,9</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0,4</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3,1</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2,9</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222,2%</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Ташкентская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27,5</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43,6</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31,1</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30,5</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10,9%</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Андижанская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4,8</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3,7</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20,1</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318,8%</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Хорезмская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24,9</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54,5</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33,2</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33,9</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36,1%</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Наманганская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0,6</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0,4</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0,7</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6,5</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983,3%</w:t>
            </w:r>
          </w:p>
        </w:tc>
      </w:tr>
    </w:tbl>
    <w:p w:rsidR="004D6154" w:rsidRDefault="004D6154" w:rsidP="004D6154">
      <w:pPr>
        <w:spacing w:after="0" w:line="240" w:lineRule="auto"/>
      </w:pPr>
    </w:p>
    <w:p w:rsidR="004D6154" w:rsidRDefault="004D6154">
      <w:r>
        <w:br w:type="page"/>
      </w:r>
    </w:p>
    <w:tbl>
      <w:tblPr>
        <w:tblW w:w="10957" w:type="dxa"/>
        <w:tblInd w:w="-1168" w:type="dxa"/>
        <w:tblLook w:val="04A0"/>
      </w:tblPr>
      <w:tblGrid>
        <w:gridCol w:w="1843"/>
        <w:gridCol w:w="616"/>
        <w:gridCol w:w="709"/>
        <w:gridCol w:w="709"/>
        <w:gridCol w:w="708"/>
        <w:gridCol w:w="1060"/>
        <w:gridCol w:w="1868"/>
        <w:gridCol w:w="616"/>
        <w:gridCol w:w="616"/>
        <w:gridCol w:w="576"/>
        <w:gridCol w:w="576"/>
        <w:gridCol w:w="1060"/>
      </w:tblGrid>
      <w:tr w:rsidR="004D6154" w:rsidRPr="00124893" w:rsidTr="004D6154">
        <w:trPr>
          <w:trHeight w:val="300"/>
        </w:trPr>
        <w:tc>
          <w:tcPr>
            <w:tcW w:w="56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b/>
                <w:bCs/>
                <w:color w:val="000000"/>
                <w:sz w:val="18"/>
                <w:szCs w:val="18"/>
              </w:rPr>
            </w:pPr>
            <w:r w:rsidRPr="00486B01">
              <w:rPr>
                <w:b/>
                <w:bCs/>
                <w:color w:val="000000"/>
                <w:sz w:val="18"/>
                <w:szCs w:val="18"/>
              </w:rPr>
              <w:lastRenderedPageBreak/>
              <w:t>Задача №8: Остановить распространение туберкулеза и положить начало тенденции к сокращению заболеваемости, показатель - заболеваемость активным туберкулезом (с диагнозом, установленным впервые), на 100 тыс.чел., чел.</w:t>
            </w:r>
          </w:p>
        </w:tc>
        <w:tc>
          <w:tcPr>
            <w:tcW w:w="5312" w:type="dxa"/>
            <w:gridSpan w:val="6"/>
            <w:tcBorders>
              <w:top w:val="single" w:sz="4" w:space="0" w:color="auto"/>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b/>
                <w:bCs/>
                <w:color w:val="000000"/>
                <w:sz w:val="18"/>
                <w:szCs w:val="18"/>
              </w:rPr>
            </w:pPr>
            <w:r w:rsidRPr="00486B01">
              <w:rPr>
                <w:b/>
                <w:bCs/>
                <w:color w:val="000000"/>
                <w:sz w:val="18"/>
                <w:szCs w:val="18"/>
              </w:rPr>
              <w:t>Задача №10: Увеличение доли городского и сельского населения, имеющего доступ к чистой питьевой воде, показатель - обеспеченность населения водоснабжением, %</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rPr>
                <w:color w:val="000000"/>
                <w:sz w:val="18"/>
                <w:szCs w:val="18"/>
              </w:rPr>
            </w:pPr>
            <w:r w:rsidRPr="00486B01">
              <w:rPr>
                <w:color w:val="000000"/>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2000</w:t>
            </w:r>
          </w:p>
        </w:tc>
        <w:tc>
          <w:tcPr>
            <w:tcW w:w="709"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2004</w:t>
            </w:r>
          </w:p>
        </w:tc>
        <w:tc>
          <w:tcPr>
            <w:tcW w:w="709"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2006</w:t>
            </w:r>
          </w:p>
        </w:tc>
        <w:tc>
          <w:tcPr>
            <w:tcW w:w="70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2008</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Изменение показателя за 2000-2008 гг.</w:t>
            </w:r>
          </w:p>
        </w:tc>
        <w:tc>
          <w:tcPr>
            <w:tcW w:w="1868"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rPr>
                <w:color w:val="000000"/>
                <w:sz w:val="18"/>
                <w:szCs w:val="18"/>
              </w:rPr>
            </w:pPr>
            <w:r w:rsidRPr="00486B01">
              <w:rPr>
                <w:color w:val="000000"/>
                <w:sz w:val="18"/>
                <w:szCs w:val="18"/>
              </w:rPr>
              <w:t> </w:t>
            </w:r>
          </w:p>
        </w:tc>
        <w:tc>
          <w:tcPr>
            <w:tcW w:w="616"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2000</w:t>
            </w:r>
          </w:p>
        </w:tc>
        <w:tc>
          <w:tcPr>
            <w:tcW w:w="616"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2004</w:t>
            </w:r>
          </w:p>
        </w:tc>
        <w:tc>
          <w:tcPr>
            <w:tcW w:w="576"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2006</w:t>
            </w:r>
          </w:p>
        </w:tc>
        <w:tc>
          <w:tcPr>
            <w:tcW w:w="576"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2008</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Изменение показателя за 2000-2008 гг.</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Бухарская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63</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61,5</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57,6</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47,7</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-24,3%</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Сырдарьинская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53,8</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64,4</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66,3</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70,8</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31,6%</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Андижанская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70,2</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79,2</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62,8</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56,2</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-19,9%</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Р. Каракалпакстан</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61,6</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70,9</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71,3</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72,7</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18,0%</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г. Ташкент</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84,2</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82,9</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74,6</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73,1</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-13,2%</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Навоийская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66,6</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76,7</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75,4</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74,3</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11,6%</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Сурхандарьин</w:t>
            </w:r>
            <w:r>
              <w:rPr>
                <w:color w:val="000000"/>
                <w:sz w:val="18"/>
                <w:szCs w:val="18"/>
              </w:rPr>
              <w:t>.</w:t>
            </w:r>
            <w:r w:rsidRPr="00486B01">
              <w:rPr>
                <w:color w:val="000000"/>
                <w:sz w:val="18"/>
                <w:szCs w:val="18"/>
              </w:rPr>
              <w:t xml:space="preserve">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59,3</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66,3</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57,4</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52,3</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-11,8%</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Самаркандская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78,5</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76,2</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86,9</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86,8</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10,6%</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Р. Каракалпакстан</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129</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122,5</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120,9</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119,1</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-7,7%</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Кашкадарьин</w:t>
            </w:r>
            <w:r>
              <w:rPr>
                <w:color w:val="000000"/>
                <w:sz w:val="18"/>
                <w:szCs w:val="18"/>
              </w:rPr>
              <w:t>.</w:t>
            </w:r>
            <w:r w:rsidRPr="00486B01">
              <w:rPr>
                <w:color w:val="000000"/>
                <w:sz w:val="18"/>
                <w:szCs w:val="18"/>
              </w:rPr>
              <w:t xml:space="preserve">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75</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80,8</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81,6</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82,8</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10,4%</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Сырдарьинская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68,9</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68,9</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66</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66,9</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-2,9%</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Сурхандарьин</w:t>
            </w:r>
            <w:r>
              <w:rPr>
                <w:color w:val="000000"/>
                <w:sz w:val="18"/>
                <w:szCs w:val="18"/>
              </w:rPr>
              <w:t>.</w:t>
            </w:r>
            <w:r w:rsidRPr="00486B01">
              <w:rPr>
                <w:color w:val="000000"/>
                <w:sz w:val="18"/>
                <w:szCs w:val="18"/>
              </w:rPr>
              <w:t xml:space="preserve">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76,1</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85,7</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81,3</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81,6</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7,2%</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Хорезмская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55,9</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64,4</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56,1</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55</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-1,6%</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Ферганская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89,3</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90,7</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91,3</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94</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5,3%</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Ферганская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55,4</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66,7</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62,5</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54,8</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-1,1%</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Андижанская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87,7</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90,1</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91,5</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89,5</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2,1%</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Кашкадарьин</w:t>
            </w:r>
            <w:r>
              <w:rPr>
                <w:color w:val="000000"/>
                <w:sz w:val="18"/>
                <w:szCs w:val="18"/>
              </w:rPr>
              <w:t>.</w:t>
            </w:r>
            <w:r w:rsidRPr="00486B01">
              <w:rPr>
                <w:color w:val="000000"/>
                <w:sz w:val="18"/>
                <w:szCs w:val="18"/>
              </w:rPr>
              <w:t xml:space="preserve">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59,7</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92,7</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82,9</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62,4</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4,5%</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г. Ташкент</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99,3</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99,6</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99,6</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99,7</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0,4%</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Ташкентская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59</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70,8</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74,8</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68,2</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15,6%</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Хорезмская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65</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71,7</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63</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61,7</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-5,1%</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Наманганская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59,2</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76,3</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68,1</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69,5</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17,4%</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Джизакская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76,9</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75,3</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74</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72,5</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-5,7%</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Навоийская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70,2</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85,6</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80</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83,4</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18,8%</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Наманганская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75</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80</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79,5</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70,1</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-6,5%</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Джизакская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61,2</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73,2</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83,5</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73,7</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20,4%</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Бухарская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68</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66</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61,7</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62,2</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-8,5%</w:t>
            </w: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Самаркандская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45,6</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60</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58</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55,1</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20,8%</w:t>
            </w:r>
          </w:p>
        </w:tc>
        <w:tc>
          <w:tcPr>
            <w:tcW w:w="1868" w:type="dxa"/>
            <w:tcBorders>
              <w:top w:val="nil"/>
              <w:left w:val="nil"/>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Ташкентская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91,5</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93,8</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83,9</w:t>
            </w:r>
          </w:p>
        </w:tc>
        <w:tc>
          <w:tcPr>
            <w:tcW w:w="57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82,7</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-9,6%</w:t>
            </w:r>
          </w:p>
        </w:tc>
      </w:tr>
      <w:tr w:rsidR="004D6154" w:rsidRPr="00124893" w:rsidTr="004D6154">
        <w:trPr>
          <w:trHeight w:val="300"/>
        </w:trPr>
        <w:tc>
          <w:tcPr>
            <w:tcW w:w="56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b/>
                <w:bCs/>
                <w:color w:val="000000"/>
                <w:sz w:val="18"/>
                <w:szCs w:val="18"/>
              </w:rPr>
            </w:pPr>
            <w:r w:rsidRPr="00486B01">
              <w:rPr>
                <w:b/>
                <w:bCs/>
                <w:color w:val="000000"/>
                <w:sz w:val="18"/>
                <w:szCs w:val="18"/>
              </w:rPr>
              <w:t>Задача №10: Увеличение доли городского и сельского населения, имеющего доступ к чистой питьевой воде, показатель - обеспеченность водоснабжением в сельской местности, %</w:t>
            </w:r>
          </w:p>
        </w:tc>
        <w:tc>
          <w:tcPr>
            <w:tcW w:w="1868"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1060"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rPr>
                <w:color w:val="000000"/>
                <w:sz w:val="18"/>
                <w:szCs w:val="18"/>
              </w:rPr>
            </w:pPr>
            <w:r w:rsidRPr="00486B01">
              <w:rPr>
                <w:color w:val="000000"/>
                <w:sz w:val="18"/>
                <w:szCs w:val="18"/>
              </w:rPr>
              <w:t> </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2000</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2004</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2006</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2008</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Изменение показателя за 2000-2008 гг.</w:t>
            </w:r>
          </w:p>
        </w:tc>
        <w:tc>
          <w:tcPr>
            <w:tcW w:w="1868"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1060"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Сырдарьинская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47,1</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58,7</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64,9</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79,6</w:t>
            </w:r>
          </w:p>
        </w:tc>
        <w:tc>
          <w:tcPr>
            <w:tcW w:w="1060" w:type="dxa"/>
            <w:tcBorders>
              <w:top w:val="nil"/>
              <w:left w:val="nil"/>
              <w:bottom w:val="single" w:sz="4" w:space="0" w:color="auto"/>
              <w:right w:val="single" w:sz="4" w:space="0" w:color="auto"/>
            </w:tcBorders>
            <w:shd w:val="clear" w:color="000000" w:fill="FF000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69,0%</w:t>
            </w:r>
          </w:p>
        </w:tc>
        <w:tc>
          <w:tcPr>
            <w:tcW w:w="1868"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1060"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Бухарская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43,8</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48,2</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51,7</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53,1</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21,2%</w:t>
            </w:r>
          </w:p>
        </w:tc>
        <w:tc>
          <w:tcPr>
            <w:tcW w:w="1868"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1060"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Кашкадарьин</w:t>
            </w:r>
            <w:r>
              <w:rPr>
                <w:color w:val="000000"/>
                <w:sz w:val="18"/>
                <w:szCs w:val="18"/>
              </w:rPr>
              <w:t>.</w:t>
            </w:r>
            <w:r w:rsidRPr="00486B01">
              <w:rPr>
                <w:color w:val="000000"/>
                <w:sz w:val="18"/>
                <w:szCs w:val="18"/>
              </w:rPr>
              <w:t xml:space="preserve">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69,2</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78,2</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81,1</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82,8</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19,7%</w:t>
            </w:r>
          </w:p>
        </w:tc>
        <w:tc>
          <w:tcPr>
            <w:tcW w:w="1868"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1060"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Pr>
                <w:color w:val="000000"/>
                <w:sz w:val="18"/>
                <w:szCs w:val="18"/>
              </w:rPr>
              <w:t>Р</w:t>
            </w:r>
            <w:r w:rsidRPr="00486B01">
              <w:rPr>
                <w:color w:val="000000"/>
                <w:sz w:val="18"/>
                <w:szCs w:val="18"/>
              </w:rPr>
              <w:t>. Каракалпакстан</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62,3</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68,1</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71,4</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74,1</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18,9%</w:t>
            </w:r>
          </w:p>
        </w:tc>
        <w:tc>
          <w:tcPr>
            <w:tcW w:w="1868"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1060"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Сурхандарьин</w:t>
            </w:r>
            <w:r>
              <w:rPr>
                <w:color w:val="000000"/>
                <w:sz w:val="18"/>
                <w:szCs w:val="18"/>
              </w:rPr>
              <w:t>.</w:t>
            </w:r>
            <w:r w:rsidRPr="00486B01">
              <w:rPr>
                <w:color w:val="000000"/>
                <w:sz w:val="18"/>
                <w:szCs w:val="18"/>
              </w:rPr>
              <w:t xml:space="preserve">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75</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82,1</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87,6</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88,1</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17,5%</w:t>
            </w:r>
          </w:p>
        </w:tc>
        <w:tc>
          <w:tcPr>
            <w:tcW w:w="1868"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1060"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Ферганская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83,1</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88,5</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92,8</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95,2</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14,6%</w:t>
            </w:r>
          </w:p>
        </w:tc>
        <w:tc>
          <w:tcPr>
            <w:tcW w:w="1868"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1060"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Самаркандская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73,9</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75,8</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80,5</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79,9</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8,1%</w:t>
            </w:r>
          </w:p>
        </w:tc>
        <w:tc>
          <w:tcPr>
            <w:tcW w:w="1868"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1060"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Андижанская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83,9</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87,6</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92</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89,4</w:t>
            </w:r>
          </w:p>
        </w:tc>
        <w:tc>
          <w:tcPr>
            <w:tcW w:w="1060" w:type="dxa"/>
            <w:tcBorders>
              <w:top w:val="nil"/>
              <w:left w:val="nil"/>
              <w:bottom w:val="single" w:sz="4" w:space="0" w:color="auto"/>
              <w:right w:val="single" w:sz="4" w:space="0" w:color="auto"/>
            </w:tcBorders>
            <w:shd w:val="clear" w:color="auto" w:fill="auto"/>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6,6%</w:t>
            </w:r>
          </w:p>
        </w:tc>
        <w:tc>
          <w:tcPr>
            <w:tcW w:w="1868"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1060"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Навоийская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64,2</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64,4</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53,8</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63,1</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-1,7%</w:t>
            </w:r>
          </w:p>
        </w:tc>
        <w:tc>
          <w:tcPr>
            <w:tcW w:w="1868"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1060"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Джизакская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72,3</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69,1</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65,6</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63,9</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-11,6%</w:t>
            </w:r>
          </w:p>
        </w:tc>
        <w:tc>
          <w:tcPr>
            <w:tcW w:w="1868"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1060"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Ташкентская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81,2</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71,7</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69,9</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68,5</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-15,6%</w:t>
            </w:r>
          </w:p>
        </w:tc>
        <w:tc>
          <w:tcPr>
            <w:tcW w:w="1868"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1060"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Хорезмская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67,7</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65,1</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56,3</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55,3</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-18,3%</w:t>
            </w:r>
          </w:p>
        </w:tc>
        <w:tc>
          <w:tcPr>
            <w:tcW w:w="1868"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1060"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r>
      <w:tr w:rsidR="004D6154" w:rsidRPr="00124893" w:rsidTr="004D615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6154" w:rsidRPr="00486B01" w:rsidRDefault="004D6154" w:rsidP="004D6154">
            <w:pPr>
              <w:spacing w:after="0" w:line="240" w:lineRule="auto"/>
              <w:rPr>
                <w:color w:val="000000"/>
                <w:sz w:val="18"/>
                <w:szCs w:val="18"/>
              </w:rPr>
            </w:pPr>
            <w:r w:rsidRPr="00486B01">
              <w:rPr>
                <w:color w:val="000000"/>
                <w:sz w:val="18"/>
                <w:szCs w:val="18"/>
              </w:rPr>
              <w:t>Наманганская обл.</w:t>
            </w:r>
          </w:p>
        </w:tc>
        <w:tc>
          <w:tcPr>
            <w:tcW w:w="616"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77,5</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70,3</w:t>
            </w:r>
          </w:p>
        </w:tc>
        <w:tc>
          <w:tcPr>
            <w:tcW w:w="709"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70,2</w:t>
            </w:r>
          </w:p>
        </w:tc>
        <w:tc>
          <w:tcPr>
            <w:tcW w:w="708" w:type="dxa"/>
            <w:tcBorders>
              <w:top w:val="nil"/>
              <w:left w:val="nil"/>
              <w:bottom w:val="single" w:sz="4" w:space="0" w:color="auto"/>
              <w:right w:val="single" w:sz="4" w:space="0" w:color="auto"/>
            </w:tcBorders>
            <w:shd w:val="clear" w:color="auto" w:fill="auto"/>
            <w:vAlign w:val="center"/>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56,1</w:t>
            </w:r>
          </w:p>
        </w:tc>
        <w:tc>
          <w:tcPr>
            <w:tcW w:w="1060" w:type="dxa"/>
            <w:tcBorders>
              <w:top w:val="nil"/>
              <w:left w:val="nil"/>
              <w:bottom w:val="single" w:sz="4" w:space="0" w:color="auto"/>
              <w:right w:val="single" w:sz="4" w:space="0" w:color="auto"/>
            </w:tcBorders>
            <w:shd w:val="clear" w:color="000000" w:fill="92D050"/>
            <w:noWrap/>
            <w:vAlign w:val="bottom"/>
            <w:hideMark/>
          </w:tcPr>
          <w:p w:rsidR="004D6154" w:rsidRPr="00486B01" w:rsidRDefault="004D6154" w:rsidP="004D6154">
            <w:pPr>
              <w:spacing w:after="0" w:line="240" w:lineRule="auto"/>
              <w:jc w:val="center"/>
              <w:rPr>
                <w:color w:val="000000"/>
                <w:sz w:val="18"/>
                <w:szCs w:val="18"/>
              </w:rPr>
            </w:pPr>
            <w:r w:rsidRPr="00486B01">
              <w:rPr>
                <w:color w:val="000000"/>
                <w:sz w:val="18"/>
                <w:szCs w:val="18"/>
              </w:rPr>
              <w:t>-27,6%</w:t>
            </w:r>
          </w:p>
        </w:tc>
        <w:tc>
          <w:tcPr>
            <w:tcW w:w="1868"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61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576"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c>
          <w:tcPr>
            <w:tcW w:w="1060" w:type="dxa"/>
            <w:tcBorders>
              <w:top w:val="nil"/>
              <w:left w:val="nil"/>
              <w:bottom w:val="nil"/>
              <w:right w:val="nil"/>
            </w:tcBorders>
            <w:shd w:val="clear" w:color="auto" w:fill="auto"/>
            <w:noWrap/>
            <w:vAlign w:val="bottom"/>
            <w:hideMark/>
          </w:tcPr>
          <w:p w:rsidR="004D6154" w:rsidRPr="00486B01" w:rsidRDefault="004D6154" w:rsidP="004D6154">
            <w:pPr>
              <w:spacing w:after="0" w:line="240" w:lineRule="auto"/>
              <w:rPr>
                <w:color w:val="000000"/>
                <w:sz w:val="18"/>
                <w:szCs w:val="18"/>
              </w:rPr>
            </w:pPr>
          </w:p>
        </w:tc>
      </w:tr>
    </w:tbl>
    <w:p w:rsidR="004D6154" w:rsidRDefault="004D6154" w:rsidP="004D6154">
      <w:pPr>
        <w:spacing w:after="0" w:line="240" w:lineRule="auto"/>
        <w:jc w:val="both"/>
      </w:pPr>
    </w:p>
    <w:p w:rsidR="004D6154" w:rsidRDefault="004D6154" w:rsidP="00DC6904">
      <w:pPr>
        <w:spacing w:before="120" w:after="0" w:line="240" w:lineRule="auto"/>
        <w:jc w:val="both"/>
        <w:rPr>
          <w:sz w:val="22"/>
        </w:rPr>
      </w:pPr>
    </w:p>
    <w:p w:rsidR="004D6154" w:rsidRDefault="004D6154" w:rsidP="00DC6904">
      <w:pPr>
        <w:spacing w:before="120" w:after="0" w:line="240" w:lineRule="auto"/>
        <w:jc w:val="both"/>
        <w:rPr>
          <w:sz w:val="22"/>
        </w:rPr>
      </w:pPr>
    </w:p>
    <w:p w:rsidR="004D6154" w:rsidRDefault="004D6154" w:rsidP="00DC6904">
      <w:pPr>
        <w:spacing w:before="120" w:after="0" w:line="240" w:lineRule="auto"/>
        <w:jc w:val="both"/>
        <w:rPr>
          <w:sz w:val="22"/>
        </w:rPr>
      </w:pPr>
    </w:p>
    <w:p w:rsidR="004D6154" w:rsidRPr="00F45AB9" w:rsidRDefault="004D6154" w:rsidP="00DC6904">
      <w:pPr>
        <w:spacing w:before="120" w:after="0" w:line="240" w:lineRule="auto"/>
        <w:jc w:val="both"/>
        <w:rPr>
          <w:sz w:val="22"/>
        </w:rPr>
      </w:pPr>
    </w:p>
    <w:sectPr w:rsidR="004D6154" w:rsidRPr="00F45AB9" w:rsidSect="00DD77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517" w:rsidRDefault="00515517" w:rsidP="00EF2178">
      <w:pPr>
        <w:spacing w:after="0" w:line="240" w:lineRule="auto"/>
      </w:pPr>
      <w:r>
        <w:separator/>
      </w:r>
    </w:p>
  </w:endnote>
  <w:endnote w:type="continuationSeparator" w:id="1">
    <w:p w:rsidR="00515517" w:rsidRDefault="00515517" w:rsidP="00EF2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517" w:rsidRDefault="00515517" w:rsidP="00EF2178">
      <w:pPr>
        <w:spacing w:after="0" w:line="240" w:lineRule="auto"/>
      </w:pPr>
      <w:r>
        <w:separator/>
      </w:r>
    </w:p>
  </w:footnote>
  <w:footnote w:type="continuationSeparator" w:id="1">
    <w:p w:rsidR="00515517" w:rsidRDefault="00515517" w:rsidP="00EF2178">
      <w:pPr>
        <w:spacing w:after="0" w:line="240" w:lineRule="auto"/>
      </w:pPr>
      <w:r>
        <w:continuationSeparator/>
      </w:r>
    </w:p>
  </w:footnote>
  <w:footnote w:id="2">
    <w:p w:rsidR="004D6154" w:rsidRPr="00272565" w:rsidRDefault="004D6154" w:rsidP="0017508B">
      <w:pPr>
        <w:pStyle w:val="a7"/>
      </w:pPr>
      <w:r w:rsidRPr="00272565">
        <w:rPr>
          <w:rStyle w:val="a9"/>
        </w:rPr>
        <w:footnoteRef/>
      </w:r>
      <w:r w:rsidRPr="00272565">
        <w:t xml:space="preserve"> Н</w:t>
      </w:r>
      <w:r w:rsidRPr="00272565">
        <w:rPr>
          <w:szCs w:val="24"/>
        </w:rPr>
        <w:t>а уровне регионов – валовой региональный продукт (ВРП).</w:t>
      </w:r>
    </w:p>
  </w:footnote>
  <w:footnote w:id="3">
    <w:p w:rsidR="004D6154" w:rsidRPr="00CD6A23" w:rsidRDefault="004D6154" w:rsidP="00CD6A23">
      <w:pPr>
        <w:pStyle w:val="a7"/>
        <w:rPr>
          <w:lang w:val="en-US"/>
        </w:rPr>
      </w:pPr>
      <w:r w:rsidRPr="00272565">
        <w:rPr>
          <w:rStyle w:val="a9"/>
        </w:rPr>
        <w:footnoteRef/>
      </w:r>
      <w:r w:rsidRPr="00272565">
        <w:rPr>
          <w:lang w:val="en-US"/>
        </w:rPr>
        <w:t xml:space="preserve"> Human Development Indicators and Indices // Indonesia NHDR, 2001</w:t>
      </w:r>
      <w:r w:rsidRPr="00CD6A23">
        <w:rPr>
          <w:lang w:val="en-US"/>
        </w:rPr>
        <w:t>.</w:t>
      </w:r>
    </w:p>
  </w:footnote>
  <w:footnote w:id="4">
    <w:p w:rsidR="004D6154" w:rsidRPr="00272565" w:rsidRDefault="004D6154" w:rsidP="0017508B">
      <w:pPr>
        <w:pStyle w:val="a7"/>
      </w:pPr>
      <w:r w:rsidRPr="00272565">
        <w:rPr>
          <w:rStyle w:val="a9"/>
        </w:rPr>
        <w:footnoteRef/>
      </w:r>
      <w:r w:rsidRPr="00272565">
        <w:t xml:space="preserve"> Потребительские расходы рассчитывались как сумма объемов розничного товарооборота и платных услуг населению.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FB8"/>
    <w:multiLevelType w:val="hybridMultilevel"/>
    <w:tmpl w:val="79B243A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1B5F305D"/>
    <w:multiLevelType w:val="hybridMultilevel"/>
    <w:tmpl w:val="52BC78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79A2259"/>
    <w:multiLevelType w:val="hybridMultilevel"/>
    <w:tmpl w:val="CA3AB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0F135F"/>
    <w:rsid w:val="00000AB2"/>
    <w:rsid w:val="00006EF9"/>
    <w:rsid w:val="00012F6E"/>
    <w:rsid w:val="00073A04"/>
    <w:rsid w:val="00092DF6"/>
    <w:rsid w:val="000A5B17"/>
    <w:rsid w:val="000A792E"/>
    <w:rsid w:val="000B5BD6"/>
    <w:rsid w:val="000C0541"/>
    <w:rsid w:val="000C5EA1"/>
    <w:rsid w:val="000C7F1A"/>
    <w:rsid w:val="000D685D"/>
    <w:rsid w:val="000F135F"/>
    <w:rsid w:val="000F1F2B"/>
    <w:rsid w:val="0011050B"/>
    <w:rsid w:val="00112BDD"/>
    <w:rsid w:val="00113934"/>
    <w:rsid w:val="0017508B"/>
    <w:rsid w:val="00184B2B"/>
    <w:rsid w:val="00186076"/>
    <w:rsid w:val="001A3D3B"/>
    <w:rsid w:val="001A4627"/>
    <w:rsid w:val="001C2C4B"/>
    <w:rsid w:val="001D0690"/>
    <w:rsid w:val="0028571B"/>
    <w:rsid w:val="00290044"/>
    <w:rsid w:val="002C419B"/>
    <w:rsid w:val="002F433A"/>
    <w:rsid w:val="0030128E"/>
    <w:rsid w:val="00304D65"/>
    <w:rsid w:val="00305270"/>
    <w:rsid w:val="00313AE2"/>
    <w:rsid w:val="00322CF7"/>
    <w:rsid w:val="0038124F"/>
    <w:rsid w:val="00381829"/>
    <w:rsid w:val="003C0881"/>
    <w:rsid w:val="003F02AC"/>
    <w:rsid w:val="003F2766"/>
    <w:rsid w:val="003F56C5"/>
    <w:rsid w:val="00401C8A"/>
    <w:rsid w:val="0041253D"/>
    <w:rsid w:val="00462870"/>
    <w:rsid w:val="00464FF5"/>
    <w:rsid w:val="0046663F"/>
    <w:rsid w:val="0047159D"/>
    <w:rsid w:val="004A68A0"/>
    <w:rsid w:val="004B5749"/>
    <w:rsid w:val="004B6EFE"/>
    <w:rsid w:val="004C1E3C"/>
    <w:rsid w:val="004C266D"/>
    <w:rsid w:val="004D6154"/>
    <w:rsid w:val="004E0C2F"/>
    <w:rsid w:val="00515517"/>
    <w:rsid w:val="0053139F"/>
    <w:rsid w:val="005333F4"/>
    <w:rsid w:val="0053507A"/>
    <w:rsid w:val="005639F7"/>
    <w:rsid w:val="0058600F"/>
    <w:rsid w:val="0058692A"/>
    <w:rsid w:val="005B0904"/>
    <w:rsid w:val="005B3C65"/>
    <w:rsid w:val="005B7EA5"/>
    <w:rsid w:val="005C1CFD"/>
    <w:rsid w:val="005C5090"/>
    <w:rsid w:val="005D33F3"/>
    <w:rsid w:val="005E3E8D"/>
    <w:rsid w:val="00601132"/>
    <w:rsid w:val="00627631"/>
    <w:rsid w:val="00632559"/>
    <w:rsid w:val="006376F1"/>
    <w:rsid w:val="00643A10"/>
    <w:rsid w:val="006512EF"/>
    <w:rsid w:val="006602A5"/>
    <w:rsid w:val="006A5551"/>
    <w:rsid w:val="006C0F62"/>
    <w:rsid w:val="006E31C7"/>
    <w:rsid w:val="00735641"/>
    <w:rsid w:val="007408F0"/>
    <w:rsid w:val="00751806"/>
    <w:rsid w:val="0075240D"/>
    <w:rsid w:val="00765BFA"/>
    <w:rsid w:val="007963C1"/>
    <w:rsid w:val="007A2259"/>
    <w:rsid w:val="007C5DFD"/>
    <w:rsid w:val="007C729A"/>
    <w:rsid w:val="00802DF3"/>
    <w:rsid w:val="00833861"/>
    <w:rsid w:val="008339CC"/>
    <w:rsid w:val="00864D64"/>
    <w:rsid w:val="00896A20"/>
    <w:rsid w:val="008A4441"/>
    <w:rsid w:val="008B2BAC"/>
    <w:rsid w:val="008C3F30"/>
    <w:rsid w:val="008E7532"/>
    <w:rsid w:val="00907121"/>
    <w:rsid w:val="00910196"/>
    <w:rsid w:val="009A0D74"/>
    <w:rsid w:val="009C2421"/>
    <w:rsid w:val="009C5184"/>
    <w:rsid w:val="00A03078"/>
    <w:rsid w:val="00A44A07"/>
    <w:rsid w:val="00A94965"/>
    <w:rsid w:val="00A9515A"/>
    <w:rsid w:val="00AC383B"/>
    <w:rsid w:val="00AC60FF"/>
    <w:rsid w:val="00AF0370"/>
    <w:rsid w:val="00AF4C1F"/>
    <w:rsid w:val="00B078E0"/>
    <w:rsid w:val="00B11D38"/>
    <w:rsid w:val="00B46E48"/>
    <w:rsid w:val="00B5218F"/>
    <w:rsid w:val="00B54014"/>
    <w:rsid w:val="00B739D9"/>
    <w:rsid w:val="00B86112"/>
    <w:rsid w:val="00B92F6E"/>
    <w:rsid w:val="00BA507C"/>
    <w:rsid w:val="00BD2A1C"/>
    <w:rsid w:val="00BF3F5F"/>
    <w:rsid w:val="00C1568F"/>
    <w:rsid w:val="00C21D01"/>
    <w:rsid w:val="00C31348"/>
    <w:rsid w:val="00C37A61"/>
    <w:rsid w:val="00C64DEF"/>
    <w:rsid w:val="00C76F2D"/>
    <w:rsid w:val="00CC3137"/>
    <w:rsid w:val="00CD6A23"/>
    <w:rsid w:val="00D12453"/>
    <w:rsid w:val="00D40067"/>
    <w:rsid w:val="00D52FEE"/>
    <w:rsid w:val="00D565CD"/>
    <w:rsid w:val="00D70544"/>
    <w:rsid w:val="00D844DE"/>
    <w:rsid w:val="00DC6904"/>
    <w:rsid w:val="00DC79FE"/>
    <w:rsid w:val="00DD2469"/>
    <w:rsid w:val="00DD77A4"/>
    <w:rsid w:val="00DE1433"/>
    <w:rsid w:val="00E140DD"/>
    <w:rsid w:val="00E25D6A"/>
    <w:rsid w:val="00E42FF0"/>
    <w:rsid w:val="00E52CF2"/>
    <w:rsid w:val="00E823F5"/>
    <w:rsid w:val="00EA299B"/>
    <w:rsid w:val="00EA538C"/>
    <w:rsid w:val="00EE4726"/>
    <w:rsid w:val="00EF2178"/>
    <w:rsid w:val="00EF2D60"/>
    <w:rsid w:val="00F01F8F"/>
    <w:rsid w:val="00F12709"/>
    <w:rsid w:val="00F35A7F"/>
    <w:rsid w:val="00F44BF2"/>
    <w:rsid w:val="00F45AB9"/>
    <w:rsid w:val="00FB0787"/>
    <w:rsid w:val="00FB0B47"/>
    <w:rsid w:val="00FB4CFE"/>
    <w:rsid w:val="00FB63B1"/>
    <w:rsid w:val="00FC1031"/>
    <w:rsid w:val="00FE5474"/>
    <w:rsid w:val="00FE62B4"/>
    <w:rsid w:val="00FF20C8"/>
    <w:rsid w:val="00F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35F"/>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35F"/>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0F135F"/>
    <w:pPr>
      <w:spacing w:before="100" w:beforeAutospacing="1" w:after="100" w:afterAutospacing="1" w:line="240" w:lineRule="auto"/>
    </w:pPr>
    <w:rPr>
      <w:rFonts w:eastAsia="Times New Roman"/>
      <w:szCs w:val="24"/>
      <w:lang w:eastAsia="ru-RU"/>
    </w:rPr>
  </w:style>
  <w:style w:type="paragraph" w:styleId="a5">
    <w:name w:val="Balloon Text"/>
    <w:basedOn w:val="a"/>
    <w:link w:val="a6"/>
    <w:uiPriority w:val="99"/>
    <w:semiHidden/>
    <w:unhideWhenUsed/>
    <w:rsid w:val="000F13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35F"/>
    <w:rPr>
      <w:rFonts w:ascii="Tahoma" w:hAnsi="Tahoma" w:cs="Tahoma"/>
      <w:sz w:val="16"/>
      <w:szCs w:val="16"/>
    </w:rPr>
  </w:style>
  <w:style w:type="paragraph" w:styleId="a7">
    <w:name w:val="footnote text"/>
    <w:aliases w:val="ft,single space,Footnote Text Char,Footnote Text Char1 Char1,Footnote Text Char Char Char1,Footnote Text Char1 Char Char,Footnote Text Char Char Char Char,Footnote Text Char Char1 Char,Footnote Text Char Char2,fn,footnote text,ft2,FOOTNOTES"/>
    <w:basedOn w:val="a"/>
    <w:link w:val="a8"/>
    <w:semiHidden/>
    <w:rsid w:val="00EF2178"/>
    <w:pPr>
      <w:spacing w:after="0" w:line="240" w:lineRule="auto"/>
    </w:pPr>
    <w:rPr>
      <w:rFonts w:eastAsia="Times New Roman"/>
      <w:sz w:val="20"/>
      <w:szCs w:val="20"/>
      <w:lang w:eastAsia="ru-RU"/>
    </w:rPr>
  </w:style>
  <w:style w:type="character" w:customStyle="1" w:styleId="a8">
    <w:name w:val="Текст сноски Знак"/>
    <w:aliases w:val="ft Знак,single space Знак,Footnote Text Char Знак,Footnote Text Char1 Char1 Знак,Footnote Text Char Char Char1 Знак,Footnote Text Char1 Char Char Знак,Footnote Text Char Char Char Char Знак,Footnote Text Char Char1 Char Знак,fn Знак"/>
    <w:basedOn w:val="a0"/>
    <w:link w:val="a7"/>
    <w:uiPriority w:val="99"/>
    <w:semiHidden/>
    <w:rsid w:val="00EF2178"/>
    <w:rPr>
      <w:rFonts w:ascii="Times New Roman" w:eastAsia="Times New Roman" w:hAnsi="Times New Roman" w:cs="Times New Roman"/>
      <w:sz w:val="20"/>
      <w:szCs w:val="20"/>
      <w:lang w:eastAsia="ru-RU"/>
    </w:rPr>
  </w:style>
  <w:style w:type="character" w:styleId="a9">
    <w:name w:val="footnote reference"/>
    <w:aliases w:val="ftref,16 Point,Superscript 6 Point,Знак сноски-FN"/>
    <w:basedOn w:val="a0"/>
    <w:semiHidden/>
    <w:rsid w:val="00EF2178"/>
    <w:rPr>
      <w:vertAlign w:val="superscript"/>
    </w:rPr>
  </w:style>
  <w:style w:type="character" w:styleId="aa">
    <w:name w:val="Hyperlink"/>
    <w:basedOn w:val="a0"/>
    <w:uiPriority w:val="99"/>
    <w:unhideWhenUsed/>
    <w:rsid w:val="00EF2178"/>
    <w:rPr>
      <w:color w:val="0000FF" w:themeColor="hyperlink"/>
      <w:u w:val="single"/>
    </w:rPr>
  </w:style>
  <w:style w:type="paragraph" w:styleId="ab">
    <w:name w:val="Body Text"/>
    <w:basedOn w:val="a"/>
    <w:link w:val="ac"/>
    <w:semiHidden/>
    <w:unhideWhenUsed/>
    <w:rsid w:val="00FB4CFE"/>
    <w:pPr>
      <w:spacing w:after="0" w:line="240" w:lineRule="auto"/>
      <w:ind w:right="-1050"/>
      <w:jc w:val="both"/>
    </w:pPr>
    <w:rPr>
      <w:rFonts w:eastAsia="Times New Roman"/>
      <w:sz w:val="20"/>
      <w:szCs w:val="20"/>
      <w:lang w:eastAsia="ru-RU"/>
    </w:rPr>
  </w:style>
  <w:style w:type="character" w:customStyle="1" w:styleId="ac">
    <w:name w:val="Основной текст Знак"/>
    <w:basedOn w:val="a0"/>
    <w:link w:val="ab"/>
    <w:semiHidden/>
    <w:rsid w:val="00FB4CFE"/>
    <w:rPr>
      <w:rFonts w:ascii="Times New Roman" w:eastAsia="Times New Roman" w:hAnsi="Times New Roman" w:cs="Times New Roman"/>
      <w:sz w:val="20"/>
      <w:szCs w:val="20"/>
      <w:lang w:eastAsia="ru-RU"/>
    </w:rPr>
  </w:style>
  <w:style w:type="paragraph" w:customStyle="1" w:styleId="Pa3">
    <w:name w:val="Pa3"/>
    <w:basedOn w:val="a"/>
    <w:next w:val="a"/>
    <w:uiPriority w:val="99"/>
    <w:rsid w:val="00FB0787"/>
    <w:pPr>
      <w:autoSpaceDE w:val="0"/>
      <w:autoSpaceDN w:val="0"/>
      <w:adjustRightInd w:val="0"/>
      <w:spacing w:after="0" w:line="181" w:lineRule="atLeast"/>
    </w:pPr>
    <w:rPr>
      <w:rFonts w:ascii="Myriad Pro" w:hAnsi="Myriad Pro" w:cstheme="minorBidi"/>
      <w:szCs w:val="24"/>
    </w:rPr>
  </w:style>
  <w:style w:type="paragraph" w:customStyle="1" w:styleId="Pa15">
    <w:name w:val="Pa15"/>
    <w:basedOn w:val="a"/>
    <w:next w:val="a"/>
    <w:uiPriority w:val="99"/>
    <w:rsid w:val="00FB0787"/>
    <w:pPr>
      <w:autoSpaceDE w:val="0"/>
      <w:autoSpaceDN w:val="0"/>
      <w:adjustRightInd w:val="0"/>
      <w:spacing w:after="0" w:line="181" w:lineRule="atLeast"/>
    </w:pPr>
    <w:rPr>
      <w:rFonts w:ascii="Myriad Pro" w:hAnsi="Myriad Pro" w:cstheme="minorBidi"/>
      <w:szCs w:val="24"/>
    </w:rPr>
  </w:style>
  <w:style w:type="paragraph" w:customStyle="1" w:styleId="Char">
    <w:name w:val="Знак Char"/>
    <w:basedOn w:val="a"/>
    <w:rsid w:val="000A5B17"/>
    <w:pPr>
      <w:widowControl w:val="0"/>
      <w:autoSpaceDE w:val="0"/>
      <w:autoSpaceDN w:val="0"/>
      <w:adjustRightInd w:val="0"/>
      <w:spacing w:after="160" w:line="240" w:lineRule="exact"/>
      <w:jc w:val="right"/>
    </w:pPr>
    <w:rPr>
      <w:rFonts w:eastAsia="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25315185">
      <w:bodyDiv w:val="1"/>
      <w:marLeft w:val="0"/>
      <w:marRight w:val="0"/>
      <w:marTop w:val="0"/>
      <w:marBottom w:val="0"/>
      <w:divBdr>
        <w:top w:val="none" w:sz="0" w:space="0" w:color="auto"/>
        <w:left w:val="none" w:sz="0" w:space="0" w:color="auto"/>
        <w:bottom w:val="none" w:sz="0" w:space="0" w:color="auto"/>
        <w:right w:val="none" w:sz="0" w:space="0" w:color="auto"/>
      </w:divBdr>
    </w:div>
    <w:div w:id="488715435">
      <w:bodyDiv w:val="1"/>
      <w:marLeft w:val="0"/>
      <w:marRight w:val="0"/>
      <w:marTop w:val="0"/>
      <w:marBottom w:val="0"/>
      <w:divBdr>
        <w:top w:val="none" w:sz="0" w:space="0" w:color="auto"/>
        <w:left w:val="none" w:sz="0" w:space="0" w:color="auto"/>
        <w:bottom w:val="none" w:sz="0" w:space="0" w:color="auto"/>
        <w:right w:val="none" w:sz="0" w:space="0" w:color="auto"/>
      </w:divBdr>
    </w:div>
    <w:div w:id="547569288">
      <w:bodyDiv w:val="1"/>
      <w:marLeft w:val="0"/>
      <w:marRight w:val="0"/>
      <w:marTop w:val="0"/>
      <w:marBottom w:val="0"/>
      <w:divBdr>
        <w:top w:val="none" w:sz="0" w:space="0" w:color="auto"/>
        <w:left w:val="none" w:sz="0" w:space="0" w:color="auto"/>
        <w:bottom w:val="none" w:sz="0" w:space="0" w:color="auto"/>
        <w:right w:val="none" w:sz="0" w:space="0" w:color="auto"/>
      </w:divBdr>
    </w:div>
    <w:div w:id="666059832">
      <w:bodyDiv w:val="1"/>
      <w:marLeft w:val="0"/>
      <w:marRight w:val="0"/>
      <w:marTop w:val="0"/>
      <w:marBottom w:val="0"/>
      <w:divBdr>
        <w:top w:val="none" w:sz="0" w:space="0" w:color="auto"/>
        <w:left w:val="none" w:sz="0" w:space="0" w:color="auto"/>
        <w:bottom w:val="none" w:sz="0" w:space="0" w:color="auto"/>
        <w:right w:val="none" w:sz="0" w:space="0" w:color="auto"/>
      </w:divBdr>
    </w:div>
    <w:div w:id="692607230">
      <w:bodyDiv w:val="1"/>
      <w:marLeft w:val="0"/>
      <w:marRight w:val="0"/>
      <w:marTop w:val="0"/>
      <w:marBottom w:val="0"/>
      <w:divBdr>
        <w:top w:val="none" w:sz="0" w:space="0" w:color="auto"/>
        <w:left w:val="none" w:sz="0" w:space="0" w:color="auto"/>
        <w:bottom w:val="none" w:sz="0" w:space="0" w:color="auto"/>
        <w:right w:val="none" w:sz="0" w:space="0" w:color="auto"/>
      </w:divBdr>
    </w:div>
    <w:div w:id="884220687">
      <w:bodyDiv w:val="1"/>
      <w:marLeft w:val="0"/>
      <w:marRight w:val="0"/>
      <w:marTop w:val="0"/>
      <w:marBottom w:val="0"/>
      <w:divBdr>
        <w:top w:val="none" w:sz="0" w:space="0" w:color="auto"/>
        <w:left w:val="none" w:sz="0" w:space="0" w:color="auto"/>
        <w:bottom w:val="none" w:sz="0" w:space="0" w:color="auto"/>
        <w:right w:val="none" w:sz="0" w:space="0" w:color="auto"/>
      </w:divBdr>
    </w:div>
    <w:div w:id="927426622">
      <w:bodyDiv w:val="1"/>
      <w:marLeft w:val="0"/>
      <w:marRight w:val="0"/>
      <w:marTop w:val="0"/>
      <w:marBottom w:val="0"/>
      <w:divBdr>
        <w:top w:val="none" w:sz="0" w:space="0" w:color="auto"/>
        <w:left w:val="none" w:sz="0" w:space="0" w:color="auto"/>
        <w:bottom w:val="none" w:sz="0" w:space="0" w:color="auto"/>
        <w:right w:val="none" w:sz="0" w:space="0" w:color="auto"/>
      </w:divBdr>
    </w:div>
    <w:div w:id="1046636740">
      <w:bodyDiv w:val="1"/>
      <w:marLeft w:val="0"/>
      <w:marRight w:val="0"/>
      <w:marTop w:val="0"/>
      <w:marBottom w:val="0"/>
      <w:divBdr>
        <w:top w:val="none" w:sz="0" w:space="0" w:color="auto"/>
        <w:left w:val="none" w:sz="0" w:space="0" w:color="auto"/>
        <w:bottom w:val="none" w:sz="0" w:space="0" w:color="auto"/>
        <w:right w:val="none" w:sz="0" w:space="0" w:color="auto"/>
      </w:divBdr>
    </w:div>
    <w:div w:id="1111365868">
      <w:bodyDiv w:val="1"/>
      <w:marLeft w:val="0"/>
      <w:marRight w:val="0"/>
      <w:marTop w:val="0"/>
      <w:marBottom w:val="0"/>
      <w:divBdr>
        <w:top w:val="none" w:sz="0" w:space="0" w:color="auto"/>
        <w:left w:val="none" w:sz="0" w:space="0" w:color="auto"/>
        <w:bottom w:val="none" w:sz="0" w:space="0" w:color="auto"/>
        <w:right w:val="none" w:sz="0" w:space="0" w:color="auto"/>
      </w:divBdr>
    </w:div>
    <w:div w:id="1130050461">
      <w:bodyDiv w:val="1"/>
      <w:marLeft w:val="0"/>
      <w:marRight w:val="0"/>
      <w:marTop w:val="0"/>
      <w:marBottom w:val="0"/>
      <w:divBdr>
        <w:top w:val="none" w:sz="0" w:space="0" w:color="auto"/>
        <w:left w:val="none" w:sz="0" w:space="0" w:color="auto"/>
        <w:bottom w:val="none" w:sz="0" w:space="0" w:color="auto"/>
        <w:right w:val="none" w:sz="0" w:space="0" w:color="auto"/>
      </w:divBdr>
    </w:div>
    <w:div w:id="1191844961">
      <w:bodyDiv w:val="1"/>
      <w:marLeft w:val="0"/>
      <w:marRight w:val="0"/>
      <w:marTop w:val="0"/>
      <w:marBottom w:val="0"/>
      <w:divBdr>
        <w:top w:val="none" w:sz="0" w:space="0" w:color="auto"/>
        <w:left w:val="none" w:sz="0" w:space="0" w:color="auto"/>
        <w:bottom w:val="none" w:sz="0" w:space="0" w:color="auto"/>
        <w:right w:val="none" w:sz="0" w:space="0" w:color="auto"/>
      </w:divBdr>
    </w:div>
    <w:div w:id="1232303874">
      <w:bodyDiv w:val="1"/>
      <w:marLeft w:val="0"/>
      <w:marRight w:val="0"/>
      <w:marTop w:val="0"/>
      <w:marBottom w:val="0"/>
      <w:divBdr>
        <w:top w:val="none" w:sz="0" w:space="0" w:color="auto"/>
        <w:left w:val="none" w:sz="0" w:space="0" w:color="auto"/>
        <w:bottom w:val="none" w:sz="0" w:space="0" w:color="auto"/>
        <w:right w:val="none" w:sz="0" w:space="0" w:color="auto"/>
      </w:divBdr>
    </w:div>
    <w:div w:id="1428427381">
      <w:bodyDiv w:val="1"/>
      <w:marLeft w:val="0"/>
      <w:marRight w:val="0"/>
      <w:marTop w:val="0"/>
      <w:marBottom w:val="0"/>
      <w:divBdr>
        <w:top w:val="none" w:sz="0" w:space="0" w:color="auto"/>
        <w:left w:val="none" w:sz="0" w:space="0" w:color="auto"/>
        <w:bottom w:val="none" w:sz="0" w:space="0" w:color="auto"/>
        <w:right w:val="none" w:sz="0" w:space="0" w:color="auto"/>
      </w:divBdr>
    </w:div>
    <w:div w:id="1683822900">
      <w:bodyDiv w:val="1"/>
      <w:marLeft w:val="0"/>
      <w:marRight w:val="0"/>
      <w:marTop w:val="0"/>
      <w:marBottom w:val="0"/>
      <w:divBdr>
        <w:top w:val="none" w:sz="0" w:space="0" w:color="auto"/>
        <w:left w:val="none" w:sz="0" w:space="0" w:color="auto"/>
        <w:bottom w:val="none" w:sz="0" w:space="0" w:color="auto"/>
        <w:right w:val="none" w:sz="0" w:space="0" w:color="auto"/>
      </w:divBdr>
    </w:div>
    <w:div w:id="1797680096">
      <w:bodyDiv w:val="1"/>
      <w:marLeft w:val="0"/>
      <w:marRight w:val="0"/>
      <w:marTop w:val="0"/>
      <w:marBottom w:val="0"/>
      <w:divBdr>
        <w:top w:val="none" w:sz="0" w:space="0" w:color="auto"/>
        <w:left w:val="none" w:sz="0" w:space="0" w:color="auto"/>
        <w:bottom w:val="none" w:sz="0" w:space="0" w:color="auto"/>
        <w:right w:val="none" w:sz="0" w:space="0" w:color="auto"/>
      </w:divBdr>
    </w:div>
    <w:div w:id="1938829283">
      <w:bodyDiv w:val="1"/>
      <w:marLeft w:val="0"/>
      <w:marRight w:val="0"/>
      <w:marTop w:val="0"/>
      <w:marBottom w:val="0"/>
      <w:divBdr>
        <w:top w:val="none" w:sz="0" w:space="0" w:color="auto"/>
        <w:left w:val="none" w:sz="0" w:space="0" w:color="auto"/>
        <w:bottom w:val="none" w:sz="0" w:space="0" w:color="auto"/>
        <w:right w:val="none" w:sz="0" w:space="0" w:color="auto"/>
      </w:divBdr>
    </w:div>
    <w:div w:id="1988582043">
      <w:bodyDiv w:val="1"/>
      <w:marLeft w:val="0"/>
      <w:marRight w:val="0"/>
      <w:marTop w:val="0"/>
      <w:marBottom w:val="0"/>
      <w:divBdr>
        <w:top w:val="none" w:sz="0" w:space="0" w:color="auto"/>
        <w:left w:val="none" w:sz="0" w:space="0" w:color="auto"/>
        <w:bottom w:val="none" w:sz="0" w:space="0" w:color="auto"/>
        <w:right w:val="none" w:sz="0" w:space="0" w:color="auto"/>
      </w:divBdr>
    </w:div>
    <w:div w:id="1989359553">
      <w:bodyDiv w:val="1"/>
      <w:marLeft w:val="0"/>
      <w:marRight w:val="0"/>
      <w:marTop w:val="0"/>
      <w:marBottom w:val="0"/>
      <w:divBdr>
        <w:top w:val="none" w:sz="0" w:space="0" w:color="auto"/>
        <w:left w:val="none" w:sz="0" w:space="0" w:color="auto"/>
        <w:bottom w:val="none" w:sz="0" w:space="0" w:color="auto"/>
        <w:right w:val="none" w:sz="0" w:space="0" w:color="auto"/>
      </w:divBdr>
    </w:div>
    <w:div w:id="2002195446">
      <w:bodyDiv w:val="1"/>
      <w:marLeft w:val="0"/>
      <w:marRight w:val="0"/>
      <w:marTop w:val="0"/>
      <w:marBottom w:val="0"/>
      <w:divBdr>
        <w:top w:val="none" w:sz="0" w:space="0" w:color="auto"/>
        <w:left w:val="none" w:sz="0" w:space="0" w:color="auto"/>
        <w:bottom w:val="none" w:sz="0" w:space="0" w:color="auto"/>
        <w:right w:val="none" w:sz="0" w:space="0" w:color="auto"/>
      </w:divBdr>
    </w:div>
    <w:div w:id="21069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chart" Target="charts/chart1.xml"/><Relationship Id="rId42" Type="http://schemas.openxmlformats.org/officeDocument/2006/relationships/oleObject" Target="embeddings/oleObject1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3.wmf"/><Relationship Id="rId43" Type="http://schemas.openxmlformats.org/officeDocument/2006/relationships/image" Target="media/image17.wmf"/></Relationships>
</file>

<file path=word/charts/_rels/chart1.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0-&#1055;&#1086;&#1090;&#1088;&#1077;&#1073;&#1080;&#1090;&#1083;&#1077;&#1100;&#1089;&#1082;&#1080;&#1077;%20&#1088;&#1072;&#1089;&#1093;&#1086;&#1076;&#1099;%20&#1080;%20&#1042;&#1042;&#10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'ПР и ВРП'!$A$19:$A$32</c:f>
              <c:strCache>
                <c:ptCount val="14"/>
                <c:pt idx="0">
                  <c:v>Город Ташкент</c:v>
                </c:pt>
                <c:pt idx="1">
                  <c:v>Намангананская область</c:v>
                </c:pt>
                <c:pt idx="2">
                  <c:v>Андижанская область</c:v>
                </c:pt>
                <c:pt idx="3">
                  <c:v>Хорезмская область</c:v>
                </c:pt>
                <c:pt idx="4">
                  <c:v>Самаркандская область</c:v>
                </c:pt>
                <c:pt idx="5">
                  <c:v>Сурхандарьинская область</c:v>
                </c:pt>
                <c:pt idx="6">
                  <c:v>Ферганская область</c:v>
                </c:pt>
                <c:pt idx="7">
                  <c:v>Джизакская область</c:v>
                </c:pt>
                <c:pt idx="8">
                  <c:v>Сырдарьинская область</c:v>
                </c:pt>
                <c:pt idx="9">
                  <c:v>Ташкентская область</c:v>
                </c:pt>
                <c:pt idx="10">
                  <c:v>Бухарская область</c:v>
                </c:pt>
                <c:pt idx="11">
                  <c:v>Республика Каракалпакстан</c:v>
                </c:pt>
                <c:pt idx="12">
                  <c:v>Кашкадарьинская область</c:v>
                </c:pt>
                <c:pt idx="13">
                  <c:v>Навоийская область</c:v>
                </c:pt>
              </c:strCache>
            </c:strRef>
          </c:cat>
          <c:val>
            <c:numRef>
              <c:f>'ПР и ВРП'!$B$19:$B$32</c:f>
              <c:numCache>
                <c:formatCode>0.0%</c:formatCode>
                <c:ptCount val="14"/>
                <c:pt idx="0">
                  <c:v>0.87121543736776863</c:v>
                </c:pt>
                <c:pt idx="1">
                  <c:v>0.64333851736652314</c:v>
                </c:pt>
                <c:pt idx="2">
                  <c:v>0.6356858846918616</c:v>
                </c:pt>
                <c:pt idx="3">
                  <c:v>0.55923250213624365</c:v>
                </c:pt>
                <c:pt idx="4">
                  <c:v>0.53050143724051024</c:v>
                </c:pt>
                <c:pt idx="5">
                  <c:v>0.52267845862288365</c:v>
                </c:pt>
                <c:pt idx="6">
                  <c:v>0.47717749416242838</c:v>
                </c:pt>
                <c:pt idx="7">
                  <c:v>0.38613207547169831</c:v>
                </c:pt>
                <c:pt idx="8">
                  <c:v>0.3790999237223554</c:v>
                </c:pt>
                <c:pt idx="9">
                  <c:v>0.37697521897971592</c:v>
                </c:pt>
                <c:pt idx="10">
                  <c:v>0.37528622504318482</c:v>
                </c:pt>
                <c:pt idx="11">
                  <c:v>0.35520930566525488</c:v>
                </c:pt>
                <c:pt idx="12">
                  <c:v>0.25689892154790134</c:v>
                </c:pt>
                <c:pt idx="13">
                  <c:v>0.16601705594467084</c:v>
                </c:pt>
              </c:numCache>
            </c:numRef>
          </c:val>
        </c:ser>
        <c:axId val="65859968"/>
        <c:axId val="65862656"/>
      </c:barChart>
      <c:catAx>
        <c:axId val="65859968"/>
        <c:scaling>
          <c:orientation val="minMax"/>
        </c:scaling>
        <c:axPos val="b"/>
        <c:tickLblPos val="nextTo"/>
        <c:txPr>
          <a:bodyPr/>
          <a:lstStyle/>
          <a:p>
            <a:pPr>
              <a:defRPr sz="900" baseline="0"/>
            </a:pPr>
            <a:endParaRPr lang="ru-RU"/>
          </a:p>
        </c:txPr>
        <c:crossAx val="65862656"/>
        <c:crosses val="autoZero"/>
        <c:auto val="1"/>
        <c:lblAlgn val="ctr"/>
        <c:lblOffset val="100"/>
      </c:catAx>
      <c:valAx>
        <c:axId val="65862656"/>
        <c:scaling>
          <c:orientation val="minMax"/>
        </c:scaling>
        <c:axPos val="l"/>
        <c:majorGridlines/>
        <c:numFmt formatCode="0%" sourceLinked="0"/>
        <c:tickLblPos val="nextTo"/>
        <c:txPr>
          <a:bodyPr/>
          <a:lstStyle/>
          <a:p>
            <a:pPr>
              <a:defRPr sz="900" baseline="0"/>
            </a:pPr>
            <a:endParaRPr lang="ru-RU"/>
          </a:p>
        </c:txPr>
        <c:crossAx val="6585996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AB149-5D81-4E67-80D9-026A2DA1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12903</Words>
  <Characters>73550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86281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2011-03-12T11:12:00Z</dcterms:created>
  <dcterms:modified xsi:type="dcterms:W3CDTF">2011-03-31T14:05:00Z</dcterms:modified>
</cp:coreProperties>
</file>